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 w:cs="Cambria"/>
          <w:sz w:val="32"/>
          <w:szCs w:val="32"/>
        </w:rPr>
      </w:pPr>
      <w:r>
        <w:rPr>
          <w:rFonts w:hint="eastAsia" w:ascii="黑体" w:hAnsi="黑体" w:eastAsia="黑体" w:cs="Cambria"/>
          <w:sz w:val="32"/>
          <w:szCs w:val="32"/>
        </w:rPr>
        <w:t>附件2</w:t>
      </w:r>
    </w:p>
    <w:p>
      <w:pPr>
        <w:jc w:val="left"/>
        <w:rPr>
          <w:rFonts w:ascii="黑体" w:hAnsi="黑体" w:eastAsia="黑体" w:cs="Cambria"/>
          <w:sz w:val="32"/>
          <w:szCs w:val="32"/>
        </w:rPr>
      </w:pPr>
    </w:p>
    <w:p>
      <w:pPr>
        <w:spacing w:line="540" w:lineRule="exact"/>
        <w:jc w:val="center"/>
        <w:rPr>
          <w:rFonts w:ascii="方正小标宋简体" w:hAnsi="Cambria" w:eastAsia="方正小标宋简体" w:cs="Cambria"/>
          <w:sz w:val="44"/>
          <w:szCs w:val="44"/>
        </w:rPr>
      </w:pPr>
      <w:r>
        <w:rPr>
          <w:rFonts w:hint="eastAsia" w:ascii="方正小标宋简体" w:hAnsi="Cambria" w:eastAsia="方正小标宋简体" w:cs="Cambria"/>
          <w:sz w:val="44"/>
          <w:szCs w:val="44"/>
        </w:rPr>
        <w:t>新建、扩建、改建建设工程避免危害气象</w:t>
      </w:r>
    </w:p>
    <w:p>
      <w:pPr>
        <w:spacing w:line="540" w:lineRule="exact"/>
        <w:jc w:val="center"/>
        <w:rPr>
          <w:rFonts w:ascii="方正小标宋简体" w:hAnsi="Cambria" w:eastAsia="方正小标宋简体" w:cs="Cambria"/>
          <w:sz w:val="44"/>
          <w:szCs w:val="44"/>
        </w:rPr>
      </w:pPr>
      <w:r>
        <w:rPr>
          <w:rFonts w:hint="eastAsia" w:ascii="方正小标宋简体" w:hAnsi="Cambria" w:eastAsia="方正小标宋简体" w:cs="Cambria"/>
          <w:sz w:val="44"/>
          <w:szCs w:val="44"/>
        </w:rPr>
        <w:t>探测环境许可相关依据</w:t>
      </w:r>
    </w:p>
    <w:p>
      <w:pPr>
        <w:spacing w:line="540" w:lineRule="exact"/>
        <w:jc w:val="left"/>
        <w:rPr>
          <w:rFonts w:ascii="仿宋_GB2312" w:hAnsi="Cambria" w:cs="Cambria"/>
          <w:szCs w:val="32"/>
        </w:rPr>
      </w:pPr>
    </w:p>
    <w:p>
      <w:pPr>
        <w:spacing w:line="540" w:lineRule="exact"/>
        <w:jc w:val="center"/>
        <w:rPr>
          <w:rFonts w:ascii="黑体" w:hAnsi="黑体" w:eastAsia="黑体" w:cs="Cambria"/>
          <w:sz w:val="32"/>
          <w:szCs w:val="32"/>
        </w:rPr>
      </w:pPr>
      <w:r>
        <w:rPr>
          <w:rFonts w:hint="eastAsia" w:ascii="黑体" w:hAnsi="黑体" w:eastAsia="黑体" w:cs="Cambria"/>
          <w:sz w:val="32"/>
          <w:szCs w:val="32"/>
        </w:rPr>
        <w:t>站类</w:t>
      </w:r>
      <w:r>
        <w:rPr>
          <w:rFonts w:ascii="黑体" w:hAnsi="黑体" w:eastAsia="黑体" w:cs="Cambria"/>
          <w:sz w:val="32"/>
          <w:szCs w:val="32"/>
        </w:rPr>
        <w:t>：天气</w:t>
      </w:r>
      <w:r>
        <w:rPr>
          <w:rFonts w:hint="eastAsia" w:ascii="黑体" w:hAnsi="黑体" w:eastAsia="黑体" w:cs="Cambria"/>
          <w:sz w:val="32"/>
          <w:szCs w:val="32"/>
        </w:rPr>
        <w:t>雷</w:t>
      </w:r>
      <w:r>
        <w:rPr>
          <w:rFonts w:ascii="黑体" w:hAnsi="黑体" w:eastAsia="黑体" w:cs="Cambria"/>
          <w:sz w:val="32"/>
          <w:szCs w:val="32"/>
        </w:rPr>
        <w:t>达站</w:t>
      </w:r>
    </w:p>
    <w:p>
      <w:pPr>
        <w:spacing w:line="540" w:lineRule="exact"/>
        <w:jc w:val="center"/>
        <w:rPr>
          <w:rFonts w:ascii="黑体" w:hAnsi="黑体" w:eastAsia="黑体" w:cs="Cambria"/>
          <w:sz w:val="32"/>
          <w:szCs w:val="32"/>
        </w:rPr>
      </w:pPr>
    </w:p>
    <w:p>
      <w:pPr>
        <w:spacing w:line="540" w:lineRule="exact"/>
        <w:ind w:firstLine="640" w:firstLineChars="200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sz w:val="32"/>
          <w:szCs w:val="32"/>
        </w:rPr>
        <w:t>1.《中华人民共和国气象法》第二十一条：“新建、扩建、改建建设工程,应当避免危害气象探测环境;确实无法避免的,建设单位应当事先征得省、自治区、直辖市气象主管机构的同意,并采取相应的措施后,方可建设。”</w:t>
      </w:r>
    </w:p>
    <w:p>
      <w:pPr>
        <w:shd w:val="clear" w:color="auto" w:fill="FFFFFF"/>
        <w:spacing w:line="540" w:lineRule="exact"/>
        <w:ind w:firstLine="640" w:firstLineChars="200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b w:val="0"/>
          <w:bCs/>
          <w:sz w:val="32"/>
          <w:szCs w:val="32"/>
          <w:rPrChange w:id="18" w:author="周兆基(排版)" w:date="2021-03-12T09:31:48Z">
            <w:rPr>
              <w:rFonts w:hint="eastAsia" w:ascii="仿宋_GB2312" w:hAnsi="Cambria" w:eastAsia="仿宋_GB2312" w:cs="Cambria"/>
              <w:b/>
              <w:sz w:val="32"/>
              <w:szCs w:val="32"/>
            </w:rPr>
          </w:rPrChange>
        </w:rPr>
        <w:t>2.</w:t>
      </w:r>
      <w:r>
        <w:rPr>
          <w:rFonts w:hint="eastAsia" w:ascii="仿宋_GB2312" w:hAnsi="Cambria" w:eastAsia="仿宋_GB2312" w:cs="Cambria"/>
          <w:b/>
          <w:sz w:val="32"/>
          <w:szCs w:val="32"/>
        </w:rPr>
        <w:t>《气象设施和气象探测环境保护条例》（国务院令第623号）第十一条：</w:t>
      </w:r>
      <w:r>
        <w:rPr>
          <w:rFonts w:hint="eastAsia" w:ascii="仿宋_GB2312" w:hAnsi="Cambria" w:eastAsia="仿宋_GB2312" w:cs="Cambria"/>
          <w:sz w:val="32"/>
          <w:szCs w:val="32"/>
        </w:rPr>
        <w:t>“大气本底站、国家基准气候站、国家基本气象站、国家一般气象站、高空气象观测站、天气雷达站、气象卫星地面站、区域气象观测站等气象台站和单独设立的气象探测设施的探测环境，应当依法予以保护。”</w:t>
      </w:r>
    </w:p>
    <w:p>
      <w:pPr>
        <w:widowControl/>
        <w:shd w:val="clear" w:color="auto" w:fill="FFFFFF"/>
        <w:spacing w:line="540" w:lineRule="exact"/>
        <w:ind w:firstLine="643" w:firstLineChars="200"/>
        <w:jc w:val="left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b/>
          <w:sz w:val="32"/>
          <w:szCs w:val="32"/>
        </w:rPr>
        <w:t>第十五条：</w:t>
      </w:r>
      <w:r>
        <w:rPr>
          <w:rFonts w:hint="eastAsia" w:ascii="仿宋_GB2312" w:hAnsi="Cambria" w:eastAsia="仿宋_GB2312" w:cs="Cambria"/>
          <w:sz w:val="32"/>
          <w:szCs w:val="32"/>
        </w:rPr>
        <w:t>“高空气象观测站、天气雷达站、气象卫星地面站、区域气象观测站和单独设立的气象探测设施探测环境的保护，应当严格执行国家规定的保护范围和要求。”</w:t>
      </w:r>
    </w:p>
    <w:p>
      <w:pPr>
        <w:widowControl/>
        <w:shd w:val="clear" w:color="auto" w:fill="FFFFFF"/>
        <w:spacing w:line="540" w:lineRule="exact"/>
        <w:ind w:firstLine="640" w:firstLineChars="200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b w:val="0"/>
          <w:bCs/>
          <w:sz w:val="32"/>
          <w:szCs w:val="32"/>
          <w:rPrChange w:id="19" w:author="周兆基(排版)" w:date="2021-03-12T09:31:57Z">
            <w:rPr>
              <w:rFonts w:hint="eastAsia" w:ascii="仿宋_GB2312" w:hAnsi="Cambria" w:eastAsia="仿宋_GB2312" w:cs="Cambria"/>
              <w:b/>
              <w:sz w:val="32"/>
              <w:szCs w:val="32"/>
            </w:rPr>
          </w:rPrChange>
        </w:rPr>
        <w:t>3.</w:t>
      </w:r>
      <w:r>
        <w:rPr>
          <w:rFonts w:hint="eastAsia" w:ascii="仿宋_GB2312" w:hAnsi="Cambria" w:eastAsia="仿宋_GB2312" w:cs="Cambria"/>
          <w:b/>
          <w:sz w:val="32"/>
          <w:szCs w:val="32"/>
        </w:rPr>
        <w:t>《新建扩建改建建设工程避免危害气象探测环境行政许可管理办法》（中国气象局令第29号）第四条：</w:t>
      </w:r>
      <w:r>
        <w:rPr>
          <w:rFonts w:hint="eastAsia" w:ascii="仿宋_GB2312" w:hAnsi="Cambria" w:eastAsia="仿宋_GB2312" w:cs="Cambria"/>
          <w:sz w:val="32"/>
          <w:szCs w:val="32"/>
        </w:rPr>
        <w:t>“国务院气象主管机构负责全国新建、扩建、改建建设工程避免危害气象探测环境行政许可的监督管理。</w:t>
      </w:r>
    </w:p>
    <w:p>
      <w:pPr>
        <w:widowControl/>
        <w:shd w:val="clear" w:color="auto" w:fill="FFFFFF"/>
        <w:spacing w:line="540" w:lineRule="exact"/>
        <w:ind w:firstLine="640" w:firstLineChars="200"/>
        <w:jc w:val="left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sz w:val="32"/>
          <w:szCs w:val="32"/>
        </w:rPr>
        <w:t>省、自治区、直辖市气象主管机构负责本行政区域内新建、扩建、改建建设工程避免危害气象探测环境行政许可的实施和管理工作。</w:t>
      </w:r>
    </w:p>
    <w:p>
      <w:pPr>
        <w:widowControl/>
        <w:shd w:val="clear" w:color="auto" w:fill="FFFFFF"/>
        <w:spacing w:line="540" w:lineRule="exact"/>
        <w:ind w:firstLine="640" w:firstLineChars="200"/>
        <w:jc w:val="left"/>
        <w:rPr>
          <w:rFonts w:ascii="仿宋_GB2312" w:hAnsi="Cambria" w:eastAsia="仿宋_GB2312" w:cs="Cambria"/>
          <w:sz w:val="32"/>
          <w:szCs w:val="32"/>
        </w:rPr>
      </w:pPr>
      <w:r>
        <w:rPr>
          <w:rFonts w:hint="eastAsia" w:ascii="仿宋_GB2312" w:hAnsi="Cambria" w:eastAsia="仿宋_GB2312" w:cs="Cambria"/>
          <w:sz w:val="32"/>
          <w:szCs w:val="32"/>
        </w:rPr>
        <w:t>设区的市气象主管机构或省直管县（市）气象主管机构负责本行政区域内新建、扩建、改建建设工程避免危害气象探测环境行政许可的初审和管理工作。”</w:t>
      </w:r>
    </w:p>
    <w:p>
      <w:pPr>
        <w:spacing w:line="540" w:lineRule="exact"/>
        <w:ind w:firstLine="640"/>
        <w:rPr>
          <w:rFonts w:ascii="仿宋_GB2312" w:hAnsi="Cambria" w:eastAsia="仿宋_GB2312" w:cs="Cambria"/>
          <w:b/>
          <w:sz w:val="32"/>
          <w:szCs w:val="32"/>
        </w:rPr>
      </w:pPr>
      <w:r>
        <w:rPr>
          <w:rFonts w:hint="eastAsia" w:ascii="仿宋_GB2312" w:hAnsi="Cambria" w:eastAsia="仿宋_GB2312" w:cs="Cambria"/>
          <w:b w:val="0"/>
          <w:bCs/>
          <w:sz w:val="32"/>
          <w:szCs w:val="32"/>
          <w:rPrChange w:id="20" w:author="周兆基(排版)" w:date="2021-03-12T09:32:02Z">
            <w:rPr>
              <w:rFonts w:hint="eastAsia" w:ascii="仿宋_GB2312" w:hAnsi="Cambria" w:eastAsia="仿宋_GB2312" w:cs="Cambria"/>
              <w:b/>
              <w:sz w:val="32"/>
              <w:szCs w:val="32"/>
            </w:rPr>
          </w:rPrChange>
        </w:rPr>
        <w:t>4.</w:t>
      </w:r>
      <w:r>
        <w:rPr>
          <w:rFonts w:hint="eastAsia" w:ascii="仿宋_GB2312" w:hAnsi="Cambria" w:eastAsia="仿宋_GB2312" w:cs="Cambria"/>
          <w:b/>
          <w:sz w:val="32"/>
          <w:szCs w:val="32"/>
        </w:rPr>
        <w:t>国家强制性标准《气象探测环境保护规范  天气雷达站》（GB 3122</w:t>
      </w:r>
      <w:r>
        <w:rPr>
          <w:rFonts w:ascii="仿宋_GB2312" w:hAnsi="Cambria" w:eastAsia="仿宋_GB2312" w:cs="Cambria"/>
          <w:b/>
          <w:sz w:val="32"/>
          <w:szCs w:val="32"/>
        </w:rPr>
        <w:t>3</w:t>
      </w:r>
      <w:r>
        <w:rPr>
          <w:rFonts w:hint="eastAsia" w:ascii="仿宋_GB2312" w:hAnsi="Cambria" w:eastAsia="仿宋_GB2312" w:cs="Cambria"/>
          <w:b/>
          <w:sz w:val="32"/>
          <w:szCs w:val="32"/>
        </w:rPr>
        <w:t>-2014）（摘要）</w:t>
      </w:r>
    </w:p>
    <w:p>
      <w:pPr>
        <w:rPr>
          <w:rFonts w:ascii="仿宋_GB2312" w:hAnsi="宋体" w:cs="Cambria"/>
          <w:szCs w:val="32"/>
        </w:rPr>
      </w:pPr>
    </w:p>
    <w:p>
      <w:pPr>
        <w:rPr>
          <w:rFonts w:ascii="方正小标宋简体" w:hAnsi="文星标宋" w:eastAsia="方正小标宋简体" w:cs="Cambria"/>
          <w:bCs/>
          <w:szCs w:val="32"/>
        </w:rPr>
      </w:pPr>
      <w:r>
        <w:pict>
          <v:shape id="_x0000_i1025" o:spt="75" type="#_x0000_t75" style="height:213pt;width:415.5pt;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  <w10:wrap type="none"/>
            <w10:anchorlock/>
          </v:shape>
        </w:pict>
      </w:r>
    </w:p>
    <w:p>
      <w:pPr>
        <w:rPr>
          <w:rFonts w:ascii="方正小标宋简体" w:hAnsi="文星标宋" w:eastAsia="方正小标宋简体" w:cs="Cambria"/>
          <w:bCs/>
          <w:szCs w:val="32"/>
        </w:rPr>
      </w:pPr>
      <w:r>
        <w:pict>
          <v:shape id="_x0000_i1026" o:spt="75" type="#_x0000_t75" style="height:303pt;width:414.75pt;" filled="f" o:preferrelative="t" stroked="f" coordsize="21600,21600">
            <v:path/>
            <v:fill on="f" focussize="0,0"/>
            <v:stroke on="f" joinstyle="miter"/>
            <v:imagedata r:id="rId6" o:title=""/>
            <o:lock v:ext="edit" aspectratio="t"/>
            <w10:wrap type="none"/>
            <w10:anchorlock/>
          </v:shape>
        </w:pict>
      </w:r>
    </w:p>
    <w:p>
      <w:pPr>
        <w:rPr>
          <w:rFonts w:ascii="方正小标宋简体" w:hAnsi="文星标宋" w:eastAsia="方正小标宋简体" w:cs="Cambria"/>
          <w:bCs/>
          <w:szCs w:val="32"/>
        </w:rPr>
      </w:pPr>
      <w:r>
        <w:pict>
          <v:shape id="_x0000_i1027" o:spt="75" type="#_x0000_t75" style="height:272.25pt;width:415.5pt;" filled="f" o:preferrelative="t" stroked="f" coordsize="21600,21600">
            <v:path/>
            <v:fill on="f" focussize="0,0"/>
            <v:stroke on="f" joinstyle="miter"/>
            <v:imagedata r:id="rId7" o:title=""/>
            <o:lock v:ext="edit" aspectratio="t"/>
            <w10:wrap type="none"/>
            <w10:anchorlock/>
          </v:shape>
        </w:pict>
      </w:r>
    </w:p>
    <w:p>
      <w:r>
        <w:pict>
          <v:shape id="_x0000_i1028" o:spt="75" type="#_x0000_t75" style="height:312.75pt;width:415.5pt;" filled="f" o:preferrelative="t" stroked="f" coordsize="21600,21600">
            <v:path/>
            <v:fill on="f" focussize="0,0"/>
            <v:stroke on="f" joinstyle="miter"/>
            <v:imagedata r:id="rId8" o:title=""/>
            <o:lock v:ext="edit" aspectratio="t"/>
            <w10:wrap type="none"/>
            <w10:anchorlock/>
          </v:shape>
        </w:pict>
      </w:r>
    </w:p>
    <w:p>
      <w:pPr>
        <w:rPr>
          <w:rFonts w:ascii="方正小标宋简体" w:hAnsi="文星标宋" w:eastAsia="方正小标宋简体" w:cs="Cambria"/>
          <w:bCs/>
          <w:szCs w:val="32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文星标宋">
    <w:altName w:val="宋体"/>
    <w:panose1 w:val="0201060900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ins w:id="0" w:author="周兆基(排版)" w:date="2021-03-12T09:29:29Z">
      <w:r>
        <w:rPr>
          <w:sz w:val="18"/>
        </w:rPr>
        <w:pict>
          <v:shape id="_x0000_s2049" o:spid="_x0000_s2049" o:spt="202" type="#_x0000_t202" style="position:absolute;left:0pt;margin-left:185.3pt;margin-top:-8.6pt;height:19.6pt;width:30.05pt;mso-position-horizontal-relative:margin;z-index:251658240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rPr>
                      <w:rFonts w:hint="eastAsia" w:eastAsia="宋体"/>
                      <w:sz w:val="28"/>
                      <w:szCs w:val="28"/>
                      <w:lang w:eastAsia="zh-CN"/>
                      <w:rPrChange w:id="2" w:author="周兆基(排版)" w:date="2021-03-12T09:31:12Z">
                        <w:rPr>
                          <w:rFonts w:hint="eastAsia" w:eastAsia="宋体"/>
                          <w:lang w:eastAsia="zh-CN"/>
                        </w:rPr>
                      </w:rPrChange>
                    </w:rPr>
                  </w:pPr>
                  <w:ins w:id="3" w:author="周兆基(排版)" w:date="2021-03-12T09:29:29Z">
                    <w:r>
                      <w:rPr>
                        <w:rFonts w:hint="eastAsia"/>
                        <w:sz w:val="28"/>
                        <w:szCs w:val="28"/>
                        <w:lang w:eastAsia="zh-CN"/>
                        <w:rPrChange w:id="4" w:author="周兆基(排版)" w:date="2021-03-12T09:31:12Z">
                          <w:rPr>
                            <w:rFonts w:hint="eastAsia"/>
                            <w:lang w:eastAsia="zh-CN"/>
                          </w:rPr>
                        </w:rPrChange>
                      </w:rPr>
                      <w:fldChar w:fldCharType="begin"/>
                    </w:r>
                  </w:ins>
                  <w:ins w:id="6" w:author="周兆基(排版)" w:date="2021-03-12T09:29:29Z">
                    <w:r>
                      <w:rPr>
                        <w:rFonts w:hint="eastAsia"/>
                        <w:sz w:val="28"/>
                        <w:szCs w:val="28"/>
                        <w:lang w:eastAsia="zh-CN"/>
                        <w:rPrChange w:id="7" w:author="周兆基(排版)" w:date="2021-03-12T09:31:12Z">
                          <w:rPr>
                            <w:rFonts w:hint="eastAsia"/>
                            <w:lang w:eastAsia="zh-CN"/>
                          </w:rPr>
                        </w:rPrChange>
                      </w:rPr>
                      <w:instrText xml:space="preserve"> PAGE  \* MERGEFORMAT </w:instrText>
                    </w:r>
                  </w:ins>
                  <w:ins w:id="9" w:author="周兆基(排版)" w:date="2021-03-12T09:29:29Z">
                    <w:r>
                      <w:rPr>
                        <w:rFonts w:hint="eastAsia"/>
                        <w:sz w:val="28"/>
                        <w:szCs w:val="28"/>
                        <w:lang w:eastAsia="zh-CN"/>
                        <w:rPrChange w:id="10" w:author="周兆基(排版)" w:date="2021-03-12T09:31:12Z">
                          <w:rPr>
                            <w:rFonts w:hint="eastAsia"/>
                            <w:lang w:eastAsia="zh-CN"/>
                          </w:rPr>
                        </w:rPrChange>
                      </w:rPr>
                      <w:fldChar w:fldCharType="separate"/>
                    </w:r>
                  </w:ins>
                  <w:ins w:id="12" w:author="周兆基(排版)" w:date="2021-03-12T09:29:29Z">
                    <w:r>
                      <w:rPr>
                        <w:rFonts w:hint="eastAsia"/>
                        <w:sz w:val="28"/>
                        <w:szCs w:val="28"/>
                        <w:lang w:eastAsia="zh-CN"/>
                        <w:rPrChange w:id="13" w:author="周兆基(排版)" w:date="2021-03-12T09:31:12Z">
                          <w:rPr>
                            <w:rFonts w:hint="eastAsia"/>
                            <w:lang w:eastAsia="zh-CN"/>
                          </w:rPr>
                        </w:rPrChange>
                      </w:rPr>
                      <w:t>1</w:t>
                    </w:r>
                  </w:ins>
                  <w:ins w:id="15" w:author="周兆基(排版)" w:date="2021-03-12T09:29:29Z">
                    <w:r>
                      <w:rPr>
                        <w:rFonts w:hint="eastAsia"/>
                        <w:sz w:val="28"/>
                        <w:szCs w:val="28"/>
                        <w:lang w:eastAsia="zh-CN"/>
                        <w:rPrChange w:id="16" w:author="周兆基(排版)" w:date="2021-03-12T09:31:12Z">
                          <w:rPr>
                            <w:rFonts w:hint="eastAsia"/>
                            <w:lang w:eastAsia="zh-CN"/>
                          </w:rPr>
                        </w:rPrChange>
                      </w:rPr>
                      <w:fldChar w:fldCharType="end"/>
                    </w:r>
                  </w:ins>
                </w:p>
              </w:txbxContent>
            </v:textbox>
          </v:shape>
        </w:pict>
      </w:r>
    </w:ins>
  </w:p>
</w:ft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周兆基(排版)">
    <w15:presenceInfo w15:providerId="None" w15:userId="周兆基(排版)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NotTrackMoves/>
  <w:attachedTemplate r:id="rId1"/>
  <w:revisionView w:markup="0"/>
  <w:trackRevisions w:val="1"/>
  <w:documentProtection w:formatting="1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E13EC"/>
    <w:rsid w:val="00017699"/>
    <w:rsid w:val="000A718C"/>
    <w:rsid w:val="00212FA6"/>
    <w:rsid w:val="00246696"/>
    <w:rsid w:val="00270BD7"/>
    <w:rsid w:val="002F2FA0"/>
    <w:rsid w:val="003344FF"/>
    <w:rsid w:val="003809E8"/>
    <w:rsid w:val="003B5588"/>
    <w:rsid w:val="004F6996"/>
    <w:rsid w:val="005D5D45"/>
    <w:rsid w:val="006E13EC"/>
    <w:rsid w:val="00710444"/>
    <w:rsid w:val="007620B0"/>
    <w:rsid w:val="008163C1"/>
    <w:rsid w:val="008D3B11"/>
    <w:rsid w:val="009E2ECD"/>
    <w:rsid w:val="009F3197"/>
    <w:rsid w:val="00A55639"/>
    <w:rsid w:val="00BD0FFA"/>
    <w:rsid w:val="00BE07BE"/>
    <w:rsid w:val="00DA0B28"/>
    <w:rsid w:val="00DF3E03"/>
    <w:rsid w:val="00F83A9B"/>
    <w:rsid w:val="00FA31E6"/>
    <w:rsid w:val="00FE78CA"/>
    <w:rsid w:val="1CCA0013"/>
    <w:rsid w:val="1E982679"/>
    <w:rsid w:val="379D4428"/>
    <w:rsid w:val="470C7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link w:val="3"/>
    <w:uiPriority w:val="99"/>
    <w:rPr>
      <w:sz w:val="18"/>
      <w:szCs w:val="18"/>
    </w:rPr>
  </w:style>
  <w:style w:type="character" w:customStyle="1" w:styleId="7">
    <w:name w:val="页脚 Char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microsoft.com/office/2011/relationships/people" Target="people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soa\wdzx97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wdzx97</Template>
  <Company>China</Company>
  <Pages>4</Pages>
  <Words>94</Words>
  <Characters>539</Characters>
  <Lines>4</Lines>
  <Paragraphs>1</Paragraphs>
  <TotalTime>6</TotalTime>
  <ScaleCrop>false</ScaleCrop>
  <LinksUpToDate>false</LinksUpToDate>
  <CharactersWithSpaces>632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2020-08-13T08:35:00Z</dcterms:created>
  <dc:creator>王红燕</dc:creator>
  <cp:lastModifiedBy>周兆基(排版)</cp:lastModifiedBy>
  <dcterms:modified xsi:type="dcterms:W3CDTF">2021-03-12T01:32:10Z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