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C81E3">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kern w:val="0"/>
          <w:sz w:val="32"/>
          <w:szCs w:val="32"/>
          <w:lang w:val="en-US" w:eastAsia="zh-CN"/>
        </w:rPr>
      </w:pPr>
      <w:bookmarkStart w:id="2" w:name="_GoBack"/>
      <w:bookmarkEnd w:id="2"/>
      <w:bookmarkStart w:id="0" w:name="OLE_LINK1"/>
      <w:r>
        <w:rPr>
          <w:rFonts w:hint="eastAsia" w:ascii="仿宋_GB2312" w:hAnsi="仿宋_GB2312" w:eastAsia="仿宋_GB2312" w:cs="仿宋_GB2312"/>
          <w:color w:val="000000"/>
          <w:kern w:val="0"/>
          <w:sz w:val="32"/>
          <w:szCs w:val="32"/>
          <w:lang w:val="en-US" w:eastAsia="zh-CN"/>
        </w:rPr>
        <w:t>附件</w:t>
      </w:r>
    </w:p>
    <w:p w14:paraId="793BBE94">
      <w:pPr>
        <w:keepNext w:val="0"/>
        <w:keepLines w:val="0"/>
        <w:pageBreakBefore w:val="0"/>
        <w:widowControl w:val="0"/>
        <w:kinsoku/>
        <w:wordWrap/>
        <w:overflowPunct/>
        <w:topLinePunct w:val="0"/>
        <w:autoSpaceDE/>
        <w:autoSpaceDN/>
        <w:bidi w:val="0"/>
        <w:adjustRightInd/>
        <w:snapToGrid/>
        <w:jc w:val="center"/>
        <w:textAlignment w:val="auto"/>
        <w:rPr>
          <w:rFonts w:ascii="方正小标宋简体" w:hAnsi="方正小标宋简体" w:eastAsia="方正小标宋简体" w:cs="方正小标宋简体"/>
          <w:sz w:val="44"/>
          <w:szCs w:val="44"/>
        </w:rPr>
      </w:pPr>
      <w:bookmarkStart w:id="1" w:name="OLE_LINK6"/>
      <w:r>
        <w:rPr>
          <w:rFonts w:hint="eastAsia" w:ascii="方正小标宋简体" w:hAnsi="方正小标宋简体" w:eastAsia="方正小标宋简体" w:cs="方正小标宋简体"/>
          <w:color w:val="000000"/>
          <w:kern w:val="0"/>
          <w:sz w:val="44"/>
          <w:szCs w:val="44"/>
          <w:lang w:val="en-US" w:eastAsia="zh-CN"/>
        </w:rPr>
        <w:t>濮阳</w:t>
      </w:r>
      <w:r>
        <w:rPr>
          <w:rFonts w:hint="eastAsia" w:ascii="方正小标宋简体" w:hAnsi="方正小标宋简体" w:eastAsia="方正小标宋简体" w:cs="方正小标宋简体"/>
          <w:color w:val="000000"/>
          <w:kern w:val="0"/>
          <w:sz w:val="44"/>
          <w:szCs w:val="44"/>
        </w:rPr>
        <w:t>市气象局行政执法“四张清单”</w:t>
      </w:r>
    </w:p>
    <w:bookmarkEnd w:id="0"/>
    <w:bookmarkEnd w:id="1"/>
    <w:p w14:paraId="44D59A2E">
      <w:pPr>
        <w:keepNext w:val="0"/>
        <w:keepLines w:val="0"/>
        <w:pageBreakBefore w:val="0"/>
        <w:widowControl w:val="0"/>
        <w:kinsoku/>
        <w:wordWrap/>
        <w:overflowPunct/>
        <w:topLinePunct w:val="0"/>
        <w:autoSpaceDE/>
        <w:autoSpaceDN/>
        <w:bidi w:val="0"/>
        <w:adjustRightInd/>
        <w:snapToGrid/>
        <w:jc w:val="center"/>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不予处罚事项清单</w:t>
      </w:r>
      <w:r>
        <w:rPr>
          <w:rFonts w:hint="eastAsia" w:ascii="楷体_GB2312" w:hAnsi="楷体_GB2312" w:eastAsia="楷体_GB2312" w:cs="楷体_GB2312"/>
          <w:b/>
          <w:bCs/>
          <w:sz w:val="32"/>
          <w:szCs w:val="32"/>
          <w:lang w:eastAsia="zh-CN"/>
        </w:rPr>
        <w:t>）</w:t>
      </w:r>
    </w:p>
    <w:p w14:paraId="12084D79">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rPr>
      </w:pPr>
    </w:p>
    <w:tbl>
      <w:tblPr>
        <w:tblStyle w:val="6"/>
        <w:tblW w:w="13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492"/>
        <w:gridCol w:w="4140"/>
        <w:gridCol w:w="2565"/>
        <w:gridCol w:w="2475"/>
        <w:gridCol w:w="1301"/>
        <w:gridCol w:w="592"/>
      </w:tblGrid>
      <w:tr w14:paraId="40735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4DE2FBBC">
            <w:pPr>
              <w:spacing w:line="360" w:lineRule="exact"/>
              <w:jc w:val="center"/>
              <w:rPr>
                <w:rFonts w:ascii="黑体" w:hAnsi="黑体" w:eastAsia="黑体" w:cs="黑体"/>
                <w:sz w:val="28"/>
                <w:szCs w:val="28"/>
              </w:rPr>
            </w:pPr>
            <w:r>
              <w:rPr>
                <w:rFonts w:hint="eastAsia" w:ascii="黑体" w:hAnsi="黑体" w:eastAsia="黑体" w:cs="黑体"/>
                <w:sz w:val="28"/>
                <w:szCs w:val="28"/>
              </w:rPr>
              <w:t>序号</w:t>
            </w:r>
          </w:p>
        </w:tc>
        <w:tc>
          <w:tcPr>
            <w:tcW w:w="1492" w:type="dxa"/>
            <w:vAlign w:val="center"/>
          </w:tcPr>
          <w:p w14:paraId="3D08FA09">
            <w:pPr>
              <w:spacing w:line="360" w:lineRule="exact"/>
              <w:jc w:val="center"/>
              <w:rPr>
                <w:rFonts w:ascii="黑体" w:hAnsi="黑体" w:eastAsia="黑体" w:cs="黑体"/>
                <w:sz w:val="28"/>
                <w:szCs w:val="28"/>
              </w:rPr>
            </w:pPr>
            <w:r>
              <w:rPr>
                <w:rFonts w:hint="eastAsia" w:ascii="黑体" w:hAnsi="黑体" w:eastAsia="黑体" w:cs="黑体"/>
                <w:sz w:val="28"/>
                <w:szCs w:val="28"/>
              </w:rPr>
              <w:t>事项</w:t>
            </w:r>
          </w:p>
          <w:p w14:paraId="2C594BF5">
            <w:pPr>
              <w:spacing w:line="360" w:lineRule="exact"/>
              <w:jc w:val="center"/>
              <w:rPr>
                <w:rFonts w:ascii="黑体" w:hAnsi="黑体" w:eastAsia="黑体" w:cs="黑体"/>
                <w:sz w:val="28"/>
                <w:szCs w:val="28"/>
              </w:rPr>
            </w:pPr>
            <w:r>
              <w:rPr>
                <w:rFonts w:hint="eastAsia" w:ascii="黑体" w:hAnsi="黑体" w:eastAsia="黑体" w:cs="黑体"/>
                <w:sz w:val="28"/>
                <w:szCs w:val="28"/>
              </w:rPr>
              <w:t>名称</w:t>
            </w:r>
          </w:p>
        </w:tc>
        <w:tc>
          <w:tcPr>
            <w:tcW w:w="4140" w:type="dxa"/>
            <w:vAlign w:val="center"/>
          </w:tcPr>
          <w:p w14:paraId="55BC56A5">
            <w:pPr>
              <w:spacing w:line="360" w:lineRule="exact"/>
              <w:jc w:val="center"/>
              <w:rPr>
                <w:rFonts w:ascii="黑体" w:hAnsi="黑体" w:eastAsia="黑体" w:cs="黑体"/>
                <w:sz w:val="28"/>
                <w:szCs w:val="28"/>
              </w:rPr>
            </w:pPr>
            <w:r>
              <w:rPr>
                <w:rFonts w:hint="eastAsia" w:ascii="黑体" w:hAnsi="黑体" w:eastAsia="黑体" w:cs="黑体"/>
                <w:sz w:val="28"/>
                <w:szCs w:val="28"/>
              </w:rPr>
              <w:t>设定依据</w:t>
            </w:r>
          </w:p>
        </w:tc>
        <w:tc>
          <w:tcPr>
            <w:tcW w:w="2565" w:type="dxa"/>
            <w:vAlign w:val="center"/>
          </w:tcPr>
          <w:p w14:paraId="76B06DCD">
            <w:pPr>
              <w:spacing w:line="360" w:lineRule="exact"/>
              <w:jc w:val="center"/>
              <w:rPr>
                <w:rFonts w:ascii="黑体" w:hAnsi="黑体" w:eastAsia="黑体" w:cs="黑体"/>
                <w:sz w:val="28"/>
                <w:szCs w:val="28"/>
              </w:rPr>
            </w:pPr>
            <w:r>
              <w:rPr>
                <w:rFonts w:hint="eastAsia" w:ascii="黑体" w:hAnsi="黑体" w:eastAsia="黑体" w:cs="黑体"/>
                <w:sz w:val="28"/>
                <w:szCs w:val="28"/>
              </w:rPr>
              <w:t>适用</w:t>
            </w:r>
          </w:p>
          <w:p w14:paraId="7515B5B0">
            <w:pPr>
              <w:spacing w:line="360" w:lineRule="exact"/>
              <w:jc w:val="center"/>
              <w:rPr>
                <w:rFonts w:ascii="黑体" w:hAnsi="黑体" w:eastAsia="黑体" w:cs="黑体"/>
                <w:sz w:val="28"/>
                <w:szCs w:val="28"/>
              </w:rPr>
            </w:pPr>
            <w:r>
              <w:rPr>
                <w:rFonts w:hint="eastAsia" w:ascii="黑体" w:hAnsi="黑体" w:eastAsia="黑体" w:cs="黑体"/>
                <w:sz w:val="28"/>
                <w:szCs w:val="28"/>
              </w:rPr>
              <w:t>情形</w:t>
            </w:r>
          </w:p>
        </w:tc>
        <w:tc>
          <w:tcPr>
            <w:tcW w:w="2475" w:type="dxa"/>
            <w:vAlign w:val="center"/>
          </w:tcPr>
          <w:p w14:paraId="1BC00B5E">
            <w:pPr>
              <w:spacing w:line="360" w:lineRule="exact"/>
              <w:jc w:val="center"/>
              <w:rPr>
                <w:rFonts w:ascii="黑体" w:hAnsi="黑体" w:eastAsia="黑体" w:cs="黑体"/>
                <w:sz w:val="28"/>
                <w:szCs w:val="28"/>
              </w:rPr>
            </w:pPr>
            <w:r>
              <w:rPr>
                <w:rFonts w:hint="eastAsia" w:ascii="黑体" w:hAnsi="黑体" w:eastAsia="黑体" w:cs="黑体"/>
                <w:sz w:val="28"/>
                <w:szCs w:val="28"/>
              </w:rPr>
              <w:t>不予处罚依据</w:t>
            </w:r>
          </w:p>
        </w:tc>
        <w:tc>
          <w:tcPr>
            <w:tcW w:w="1301" w:type="dxa"/>
            <w:vAlign w:val="center"/>
          </w:tcPr>
          <w:p w14:paraId="1EDA3105">
            <w:pPr>
              <w:spacing w:line="360" w:lineRule="exact"/>
              <w:jc w:val="center"/>
              <w:rPr>
                <w:rFonts w:ascii="黑体" w:hAnsi="黑体" w:eastAsia="黑体" w:cs="黑体"/>
                <w:sz w:val="28"/>
                <w:szCs w:val="28"/>
              </w:rPr>
            </w:pPr>
            <w:r>
              <w:rPr>
                <w:rFonts w:hint="eastAsia" w:ascii="黑体" w:hAnsi="黑体" w:eastAsia="黑体" w:cs="黑体"/>
                <w:sz w:val="28"/>
                <w:szCs w:val="28"/>
              </w:rPr>
              <w:t>配套监管措施</w:t>
            </w:r>
          </w:p>
        </w:tc>
        <w:tc>
          <w:tcPr>
            <w:tcW w:w="592" w:type="dxa"/>
            <w:vAlign w:val="center"/>
          </w:tcPr>
          <w:p w14:paraId="6AA478A3">
            <w:pPr>
              <w:spacing w:line="360" w:lineRule="exact"/>
              <w:jc w:val="center"/>
              <w:rPr>
                <w:rFonts w:ascii="黑体" w:hAnsi="黑体" w:eastAsia="黑体" w:cs="黑体"/>
                <w:sz w:val="28"/>
                <w:szCs w:val="28"/>
              </w:rPr>
            </w:pPr>
            <w:r>
              <w:rPr>
                <w:rFonts w:hint="eastAsia" w:ascii="黑体" w:hAnsi="黑体" w:eastAsia="黑体" w:cs="黑体"/>
                <w:sz w:val="28"/>
                <w:szCs w:val="28"/>
              </w:rPr>
              <w:t>备注</w:t>
            </w:r>
          </w:p>
        </w:tc>
      </w:tr>
      <w:tr w14:paraId="29970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5" w:hRule="atLeast"/>
          <w:jc w:val="center"/>
        </w:trPr>
        <w:tc>
          <w:tcPr>
            <w:tcW w:w="627" w:type="dxa"/>
            <w:vAlign w:val="center"/>
          </w:tcPr>
          <w:p w14:paraId="1030FB79">
            <w:pPr>
              <w:jc w:val="center"/>
              <w:rPr>
                <w:rFonts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1</w:t>
            </w:r>
          </w:p>
        </w:tc>
        <w:tc>
          <w:tcPr>
            <w:tcW w:w="1492" w:type="dxa"/>
            <w:vAlign w:val="center"/>
          </w:tcPr>
          <w:p w14:paraId="25A21C28">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对侵占、损毁或者未经批准擅自移动气象设施的处罚</w:t>
            </w:r>
          </w:p>
        </w:tc>
        <w:tc>
          <w:tcPr>
            <w:tcW w:w="4140" w:type="dxa"/>
            <w:vAlign w:val="center"/>
          </w:tcPr>
          <w:p w14:paraId="4518A5EF">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《中华人民共和国气象法》第三十五条</w:t>
            </w:r>
            <w:r>
              <w:rPr>
                <w:rFonts w:hint="eastAsia" w:ascii="仿宋_GB2312" w:hAnsi="仿宋_GB2312" w:cs="仿宋_GB2312"/>
                <w:color w:val="000000" w:themeColor="text1"/>
                <w:sz w:val="24"/>
                <w:szCs w:val="24"/>
                <w14:textFill>
                  <w14:solidFill>
                    <w14:schemeClr w14:val="tx1"/>
                  </w14:solidFill>
                </w14:textFill>
              </w:rPr>
              <w:t>：“违反本法规定，有下列行为之一的，由有关气象主管机构按照权限责令停止违法行为，限期恢复原状或者采取其他补救措施，可以并处五万元以下的罚款；造成损失的，依法承担赔偿责任；构成犯罪的，依法追究刑事责任：（一）侵占、损毁或者未经批准擅自移动气象设施的；”</w:t>
            </w:r>
          </w:p>
          <w:p w14:paraId="2187490C">
            <w:pPr>
              <w:spacing w:line="320" w:lineRule="exact"/>
              <w:rPr>
                <w:rFonts w:ascii="仿宋_GB2312" w:hAnsi="仿宋_GB2312" w:cs="仿宋_GB2312"/>
                <w:color w:val="000000" w:themeColor="text1"/>
                <w:sz w:val="24"/>
                <w:szCs w:val="24"/>
                <w14:textFill>
                  <w14:solidFill>
                    <w14:schemeClr w14:val="tx1"/>
                  </w14:solidFill>
                </w14:textFill>
              </w:rPr>
            </w:pPr>
          </w:p>
          <w:p w14:paraId="072ABBE9">
            <w:pPr>
              <w:spacing w:line="320" w:lineRule="exact"/>
              <w:rPr>
                <w:rFonts w:ascii="仿宋_GB2312" w:hAnsi="仿宋_GB2312" w:cs="仿宋_GB2312"/>
                <w:color w:val="000000" w:themeColor="text1"/>
                <w:sz w:val="24"/>
                <w:szCs w:val="24"/>
                <w14:textFill>
                  <w14:solidFill>
                    <w14:schemeClr w14:val="tx1"/>
                  </w14:solidFill>
                </w14:textFill>
              </w:rPr>
            </w:pPr>
          </w:p>
        </w:tc>
        <w:tc>
          <w:tcPr>
            <w:tcW w:w="2565" w:type="dxa"/>
            <w:vAlign w:val="center"/>
          </w:tcPr>
          <w:p w14:paraId="171BC08B">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1.违法行为轻微并及时纠正，没有造成危害后果的。2.初次违法且危害后果轻微并及时纠正的。</w:t>
            </w:r>
          </w:p>
          <w:p w14:paraId="47E3465F">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3E8A2FC5">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5EAA761F">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当事人有证据足以证明没有主观过错的，不予行政处罚。  </w:t>
            </w:r>
          </w:p>
        </w:tc>
        <w:tc>
          <w:tcPr>
            <w:tcW w:w="1301" w:type="dxa"/>
            <w:vAlign w:val="center"/>
          </w:tcPr>
          <w:p w14:paraId="5271BD1A">
            <w:pPr>
              <w:spacing w:line="320" w:lineRule="exact"/>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699564A0">
            <w:pPr>
              <w:rPr>
                <w:rFonts w:ascii="仿宋_GB2312" w:hAnsi="仿宋_GB2312" w:cs="仿宋_GB2312"/>
                <w:color w:val="000000" w:themeColor="text1"/>
                <w:sz w:val="24"/>
                <w:szCs w:val="24"/>
                <w14:textFill>
                  <w14:solidFill>
                    <w14:schemeClr w14:val="tx1"/>
                  </w14:solidFill>
                </w14:textFill>
              </w:rPr>
            </w:pPr>
          </w:p>
        </w:tc>
      </w:tr>
      <w:tr w14:paraId="2421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1C97A3DE">
            <w:pPr>
              <w:jc w:val="cente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2</w:t>
            </w:r>
          </w:p>
        </w:tc>
        <w:tc>
          <w:tcPr>
            <w:tcW w:w="1492" w:type="dxa"/>
            <w:vAlign w:val="center"/>
          </w:tcPr>
          <w:p w14:paraId="43443B56">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对在气象探测环境保护范围内从事危害气象探测环境活动的处罚</w:t>
            </w:r>
          </w:p>
        </w:tc>
        <w:tc>
          <w:tcPr>
            <w:tcW w:w="4140" w:type="dxa"/>
            <w:vAlign w:val="center"/>
          </w:tcPr>
          <w:p w14:paraId="431B89D2">
            <w:pPr>
              <w:spacing w:line="30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《中华人民共和国气象法》第三十五条</w:t>
            </w:r>
            <w:r>
              <w:rPr>
                <w:rFonts w:hint="eastAsia" w:ascii="仿宋_GB2312" w:hAnsi="仿宋_GB2312" w:cs="仿宋_GB2312"/>
                <w:color w:val="000000" w:themeColor="text1"/>
                <w:sz w:val="24"/>
                <w:szCs w:val="24"/>
                <w14:textFill>
                  <w14:solidFill>
                    <w14:schemeClr w14:val="tx1"/>
                  </w14:solidFill>
                </w14:textFill>
              </w:rPr>
              <w:t>：“违反本法规定，有下列行为之一的，由有关气象主管机构按照权限责令停止违法行为，限期恢复原状或者采取其他补救措施，可以并处五万元以下的罚款；造成损失的，依法承担赔偿责任；构成犯罪的，依法追究刑事责任：（二）在气象探测环境保护范围内从事危害气象探测环境活动的。”</w:t>
            </w:r>
          </w:p>
        </w:tc>
        <w:tc>
          <w:tcPr>
            <w:tcW w:w="2565" w:type="dxa"/>
            <w:vAlign w:val="center"/>
          </w:tcPr>
          <w:p w14:paraId="22368919">
            <w:pPr>
              <w:numPr>
                <w:ilvl w:val="0"/>
                <w:numId w:val="1"/>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16F53DDC">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7B8EA853">
            <w:pPr>
              <w:spacing w:line="30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6E42FB15">
            <w:pPr>
              <w:spacing w:line="30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7BE54294">
            <w:pPr>
              <w:spacing w:line="30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36F3AD67">
            <w:pPr>
              <w:spacing w:line="320" w:lineRule="exact"/>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5ECFF07B">
            <w:pPr>
              <w:rPr>
                <w:rFonts w:ascii="仿宋_GB2312" w:hAnsi="仿宋_GB2312" w:cs="仿宋_GB2312"/>
                <w:color w:val="000000" w:themeColor="text1"/>
                <w:sz w:val="24"/>
                <w:szCs w:val="24"/>
                <w14:textFill>
                  <w14:solidFill>
                    <w14:schemeClr w14:val="tx1"/>
                  </w14:solidFill>
                </w14:textFill>
              </w:rPr>
            </w:pPr>
          </w:p>
        </w:tc>
      </w:tr>
      <w:tr w14:paraId="570B3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79D049FB">
            <w:pPr>
              <w:jc w:val="cente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3</w:t>
            </w:r>
          </w:p>
        </w:tc>
        <w:tc>
          <w:tcPr>
            <w:tcW w:w="1492" w:type="dxa"/>
            <w:vAlign w:val="center"/>
          </w:tcPr>
          <w:p w14:paraId="4D8D73BA">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对使用不符合技术要求的气象专用技术装备，造成危害的处罚</w:t>
            </w:r>
          </w:p>
        </w:tc>
        <w:tc>
          <w:tcPr>
            <w:tcW w:w="4140" w:type="dxa"/>
            <w:vAlign w:val="center"/>
          </w:tcPr>
          <w:p w14:paraId="6B7F6BE1">
            <w:pPr>
              <w:spacing w:line="30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《中华人民共和国气象法》第三十六条</w:t>
            </w:r>
            <w:r>
              <w:rPr>
                <w:rFonts w:hint="eastAsia" w:ascii="仿宋_GB2312" w:hAnsi="仿宋_GB2312" w:cs="仿宋_GB2312"/>
                <w:color w:val="000000" w:themeColor="text1"/>
                <w:sz w:val="24"/>
                <w:szCs w:val="24"/>
                <w14:textFill>
                  <w14:solidFill>
                    <w14:schemeClr w14:val="tx1"/>
                  </w14:solidFill>
                </w14:textFill>
              </w:rPr>
              <w:t>：“违反本法规定，使用不符合技术要求的气象专用技术装备，造成危害的，由有关气象主管机构按照权限责令改正，给予警告，可以并处5万元以下的罚款。”</w:t>
            </w:r>
          </w:p>
        </w:tc>
        <w:tc>
          <w:tcPr>
            <w:tcW w:w="2565" w:type="dxa"/>
            <w:vAlign w:val="center"/>
          </w:tcPr>
          <w:p w14:paraId="23034694">
            <w:pPr>
              <w:numPr>
                <w:ilvl w:val="0"/>
                <w:numId w:val="2"/>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2310B6FA">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09CE539F">
            <w:pPr>
              <w:spacing w:line="30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7C10BFE7">
            <w:pPr>
              <w:spacing w:line="30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75402962">
            <w:pPr>
              <w:spacing w:line="30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259C09AF">
            <w:pPr>
              <w:spacing w:line="320" w:lineRule="exact"/>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041887AF">
            <w:pPr>
              <w:spacing w:line="280" w:lineRule="exact"/>
              <w:rPr>
                <w:rFonts w:ascii="仿宋_GB2312" w:hAnsi="仿宋_GB2312" w:cs="仿宋_GB2312"/>
                <w:color w:val="000000" w:themeColor="text1"/>
                <w:sz w:val="24"/>
                <w:szCs w:val="24"/>
                <w14:textFill>
                  <w14:solidFill>
                    <w14:schemeClr w14:val="tx1"/>
                  </w14:solidFill>
                </w14:textFill>
              </w:rPr>
            </w:pPr>
          </w:p>
        </w:tc>
      </w:tr>
      <w:tr w14:paraId="3E475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1E369E23">
            <w:pPr>
              <w:jc w:val="cente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4</w:t>
            </w:r>
          </w:p>
        </w:tc>
        <w:tc>
          <w:tcPr>
            <w:tcW w:w="1492" w:type="dxa"/>
            <w:vAlign w:val="center"/>
          </w:tcPr>
          <w:p w14:paraId="68EFF3AE">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对工程建设项目大气环境影响评价时,使用的气象资料不符合国家气象技术标准的处罚</w:t>
            </w:r>
          </w:p>
        </w:tc>
        <w:tc>
          <w:tcPr>
            <w:tcW w:w="4140" w:type="dxa"/>
            <w:vAlign w:val="center"/>
          </w:tcPr>
          <w:p w14:paraId="7A3B17E0">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《中华人民共和国气象法》第三十八条</w:t>
            </w:r>
            <w:r>
              <w:rPr>
                <w:rFonts w:hint="eastAsia" w:ascii="仿宋_GB2312" w:hAnsi="仿宋_GB2312" w:cs="仿宋_GB2312"/>
                <w:color w:val="000000" w:themeColor="text1"/>
                <w:sz w:val="24"/>
                <w:szCs w:val="24"/>
                <w14:textFill>
                  <w14:solidFill>
                    <w14:schemeClr w14:val="tx1"/>
                  </w14:solidFill>
                </w14:textFill>
              </w:rPr>
              <w:t>：“违反本法规定，有下列行为之一的，由有关气象主管机构按照权限责令改正，给予警告，可以并处5万元以下的罚款：（三）从事大气环境影响评价的单位进行工程建设项目大气环境影响评价时,使用的气象资料不符合国家气象技术标准的。”</w:t>
            </w:r>
          </w:p>
        </w:tc>
        <w:tc>
          <w:tcPr>
            <w:tcW w:w="2565" w:type="dxa"/>
            <w:vAlign w:val="center"/>
          </w:tcPr>
          <w:p w14:paraId="318E718C">
            <w:pPr>
              <w:numPr>
                <w:ilvl w:val="0"/>
                <w:numId w:val="3"/>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3906CE15">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0466BE87">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572E4113">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094DAA0B">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472FBD19">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055A9D45">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60906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2715F0BD">
            <w:pPr>
              <w:jc w:val="cente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5</w:t>
            </w:r>
          </w:p>
        </w:tc>
        <w:tc>
          <w:tcPr>
            <w:tcW w:w="1492" w:type="dxa"/>
            <w:vAlign w:val="center"/>
          </w:tcPr>
          <w:p w14:paraId="452F8F04">
            <w:pPr>
              <w:spacing w:line="320" w:lineRule="exact"/>
              <w:jc w:val="lef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对侵占人工影响天气作业场地的、损毁或擅自移动人工影响天气专用装备及相关设施的处罚</w:t>
            </w:r>
          </w:p>
        </w:tc>
        <w:tc>
          <w:tcPr>
            <w:tcW w:w="4140" w:type="dxa"/>
            <w:vAlign w:val="center"/>
          </w:tcPr>
          <w:p w14:paraId="705E1710">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《河南省人工影响天气管理条例》第二十一条</w:t>
            </w:r>
            <w:r>
              <w:rPr>
                <w:rFonts w:hint="eastAsia" w:ascii="仿宋_GB2312" w:hAnsi="仿宋_GB2312" w:cs="仿宋_GB2312"/>
                <w:color w:val="000000" w:themeColor="text1"/>
                <w:sz w:val="24"/>
                <w:szCs w:val="24"/>
                <w14:textFill>
                  <w14:solidFill>
                    <w14:schemeClr w14:val="tx1"/>
                  </w14:solidFill>
                </w14:textFill>
              </w:rPr>
              <w:t>：“侵占作业场地或者损毁、擅自移动人工影响天气专用装备及相关设施的，由县级以上气象主管机构责令改正，给予警告；拒不改正的，处以1千元以上1万元以下罚款；”</w:t>
            </w:r>
          </w:p>
        </w:tc>
        <w:tc>
          <w:tcPr>
            <w:tcW w:w="2565" w:type="dxa"/>
            <w:vAlign w:val="center"/>
          </w:tcPr>
          <w:p w14:paraId="2F0C86A1">
            <w:pPr>
              <w:numPr>
                <w:ilvl w:val="0"/>
                <w:numId w:val="4"/>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68AA2063">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0491013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1D288FC0">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0938EF06">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51721C21">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76658019">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7E14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468146C0">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6</w:t>
            </w:r>
          </w:p>
        </w:tc>
        <w:tc>
          <w:tcPr>
            <w:tcW w:w="1492" w:type="dxa"/>
            <w:vAlign w:val="center"/>
          </w:tcPr>
          <w:p w14:paraId="3ECCB3F9">
            <w:pPr>
              <w:spacing w:line="320" w:lineRule="exact"/>
              <w:jc w:val="lef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对新建气候资源探测站（点）提供虚假备案材料的处罚</w:t>
            </w:r>
          </w:p>
        </w:tc>
        <w:tc>
          <w:tcPr>
            <w:tcW w:w="4140" w:type="dxa"/>
            <w:vAlign w:val="center"/>
          </w:tcPr>
          <w:p w14:paraId="37A3EA18">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《河南省气候资源保护与开发利用条例》第三十八条</w:t>
            </w:r>
            <w:r>
              <w:rPr>
                <w:rFonts w:hint="eastAsia" w:ascii="仿宋_GB2312" w:hAnsi="仿宋_GB2312" w:cs="仿宋_GB2312"/>
                <w:color w:val="000000" w:themeColor="text1"/>
                <w:sz w:val="24"/>
                <w:szCs w:val="24"/>
                <w14:textFill>
                  <w14:solidFill>
                    <w14:schemeClr w14:val="tx1"/>
                  </w14:solidFill>
                </w14:textFill>
              </w:rPr>
              <w:t>：“违反本条例规定，有下列行为之一的，由县级以上气象主管机构按照权限责令改正；拒不改正的，处一万元以上三万元以下的罚款：（一）新建气候资源探测站（点）提供虚假备案材料的；”</w:t>
            </w:r>
          </w:p>
        </w:tc>
        <w:tc>
          <w:tcPr>
            <w:tcW w:w="2565" w:type="dxa"/>
            <w:vAlign w:val="center"/>
          </w:tcPr>
          <w:p w14:paraId="7E8AF7A1">
            <w:pPr>
              <w:numPr>
                <w:ilvl w:val="0"/>
                <w:numId w:val="5"/>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11556A30">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7A55700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5676C98D">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6A46F7B8">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7967A281">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34F342F2">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75F95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7B590696">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7</w:t>
            </w:r>
          </w:p>
        </w:tc>
        <w:tc>
          <w:tcPr>
            <w:tcW w:w="1492" w:type="dxa"/>
            <w:vAlign w:val="center"/>
          </w:tcPr>
          <w:p w14:paraId="6FA01BF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对气候资源探测使用未经审查合格的气象专用技术装备或者未经检定合格的气象计量器具的处罚</w:t>
            </w:r>
          </w:p>
        </w:tc>
        <w:tc>
          <w:tcPr>
            <w:tcW w:w="4140" w:type="dxa"/>
            <w:vAlign w:val="center"/>
          </w:tcPr>
          <w:p w14:paraId="58D43ADC">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《河南省气候资源保护与开发利用条例》第三十八条</w:t>
            </w:r>
            <w:r>
              <w:rPr>
                <w:rFonts w:hint="eastAsia" w:ascii="仿宋_GB2312" w:hAnsi="仿宋_GB2312" w:cs="仿宋_GB2312"/>
                <w:color w:val="000000" w:themeColor="text1"/>
                <w:sz w:val="24"/>
                <w:szCs w:val="24"/>
                <w14:textFill>
                  <w14:solidFill>
                    <w14:schemeClr w14:val="tx1"/>
                  </w14:solidFill>
                </w14:textFill>
              </w:rPr>
              <w:t>：“违反本条例规定，有下列行为之一的，由县级以上气象主管机构按照权限责令改正；拒不改正的，处一万元以上三万元以下的罚款：（二）气候资源探测使用未经审查合格的气象专用技术装备或者未经检定合格的气象计量器具的。”</w:t>
            </w:r>
          </w:p>
        </w:tc>
        <w:tc>
          <w:tcPr>
            <w:tcW w:w="2565" w:type="dxa"/>
            <w:vAlign w:val="center"/>
          </w:tcPr>
          <w:p w14:paraId="6FE3A2B5">
            <w:pPr>
              <w:numPr>
                <w:ilvl w:val="0"/>
                <w:numId w:val="6"/>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664EDADE">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7A9F8CEF">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34FA4047">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6A8E4FB9">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3D7008C1">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6E2A4715">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59521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4E98E58F">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8</w:t>
            </w:r>
          </w:p>
        </w:tc>
        <w:tc>
          <w:tcPr>
            <w:tcW w:w="1492" w:type="dxa"/>
            <w:vAlign w:val="center"/>
          </w:tcPr>
          <w:p w14:paraId="11068F8C">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对使用的气象资料，不是气象主管机构直接提供或者未经省、自治区、直辖市气象主管机构审查的处罚</w:t>
            </w:r>
          </w:p>
        </w:tc>
        <w:tc>
          <w:tcPr>
            <w:tcW w:w="4140" w:type="dxa"/>
            <w:vAlign w:val="center"/>
          </w:tcPr>
          <w:p w14:paraId="792CF26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《气候可行性论证管理办法》（中国气象局令第18号）第十八条</w:t>
            </w:r>
            <w:r>
              <w:rPr>
                <w:rFonts w:hint="eastAsia" w:ascii="仿宋_GB2312" w:hAnsi="仿宋_GB2312" w:cs="仿宋_GB2312"/>
                <w:color w:val="000000" w:themeColor="text1"/>
                <w:sz w:val="24"/>
                <w:szCs w:val="24"/>
                <w14:textFill>
                  <w14:solidFill>
                    <w14:schemeClr w14:val="tx1"/>
                  </w14:solidFill>
                </w14:textFill>
              </w:rPr>
              <w:t>：“违反本办法规定，有下列行为之一的，由县级以上气象主管机构按照权限责令改正，给予警告，可以处三万元以下罚款；情节严重的，由国务院气象主管机构进行通报；造成损失的，依法承担赔偿责任；构成犯罪的，依法追究刑事责任：（一）使用的气象资料，不是气象主管机构直接提供或者未经省、自治区、直辖市气象主管机构审查的；”</w:t>
            </w:r>
          </w:p>
        </w:tc>
        <w:tc>
          <w:tcPr>
            <w:tcW w:w="2565" w:type="dxa"/>
            <w:vAlign w:val="center"/>
          </w:tcPr>
          <w:p w14:paraId="65799567">
            <w:pPr>
              <w:numPr>
                <w:ilvl w:val="0"/>
                <w:numId w:val="7"/>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2344E41B">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645F73A9">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61C5E90E">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212358BE">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7C481BD4">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3E11F228">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538C9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1A2D5CDC">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9</w:t>
            </w:r>
          </w:p>
        </w:tc>
        <w:tc>
          <w:tcPr>
            <w:tcW w:w="1492" w:type="dxa"/>
            <w:vAlign w:val="center"/>
          </w:tcPr>
          <w:p w14:paraId="04980731">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对开展气象探测活动，未向设区的市级以上气象主管机构备案的处罚</w:t>
            </w:r>
          </w:p>
        </w:tc>
        <w:tc>
          <w:tcPr>
            <w:tcW w:w="4140" w:type="dxa"/>
            <w:vAlign w:val="center"/>
          </w:tcPr>
          <w:p w14:paraId="7D63402C">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《气象信息服务管理办法》（中国气象局令第27号）第十八条</w:t>
            </w:r>
            <w:r>
              <w:rPr>
                <w:rFonts w:hint="eastAsia" w:ascii="仿宋_GB2312" w:hAnsi="仿宋_GB2312" w:cs="仿宋_GB2312"/>
                <w:color w:val="000000" w:themeColor="text1"/>
                <w:sz w:val="24"/>
                <w:szCs w:val="24"/>
                <w14:textFill>
                  <w14:solidFill>
                    <w14:schemeClr w14:val="tx1"/>
                  </w14:solidFill>
                </w14:textFill>
              </w:rPr>
              <w:t>：“违反本办法规定，有下列行为之一的，由县级以上气象主管机构责令限期改正，拒不改正的，给予警告，可以并处3万元以下罚款，处罚结果纳入气象信息服务单位信用信息统计系统并向社会公示：（三）开展气象探测活动，未向设区的市级以上气象主管机构备案，或者未按照国家有关规定汇交所获得的气象探测资料的；”</w:t>
            </w:r>
          </w:p>
        </w:tc>
        <w:tc>
          <w:tcPr>
            <w:tcW w:w="2565" w:type="dxa"/>
            <w:vAlign w:val="center"/>
          </w:tcPr>
          <w:p w14:paraId="17843697">
            <w:pPr>
              <w:numPr>
                <w:ilvl w:val="0"/>
                <w:numId w:val="8"/>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0BA7A2EA">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57571C7A">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0E6BAA84">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06462999">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5E23CB4A">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11009CAC">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4E4E8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5A09DA1B">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10</w:t>
            </w:r>
          </w:p>
        </w:tc>
        <w:tc>
          <w:tcPr>
            <w:tcW w:w="1492" w:type="dxa"/>
            <w:vAlign w:val="center"/>
          </w:tcPr>
          <w:p w14:paraId="10DD3029">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对开展气象探测活动未按照国家有关规定汇交所获得的气象探测资料的处罚</w:t>
            </w:r>
          </w:p>
        </w:tc>
        <w:tc>
          <w:tcPr>
            <w:tcW w:w="4140" w:type="dxa"/>
            <w:vAlign w:val="center"/>
          </w:tcPr>
          <w:p w14:paraId="595B7530">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《气象信息服务管理办法》（中国气象局令第27号）第十八条</w:t>
            </w:r>
            <w:r>
              <w:rPr>
                <w:rFonts w:hint="eastAsia" w:ascii="仿宋_GB2312" w:hAnsi="仿宋_GB2312" w:cs="仿宋_GB2312"/>
                <w:color w:val="000000" w:themeColor="text1"/>
                <w:sz w:val="24"/>
                <w:szCs w:val="24"/>
                <w14:textFill>
                  <w14:solidFill>
                    <w14:schemeClr w14:val="tx1"/>
                  </w14:solidFill>
                </w14:textFill>
              </w:rPr>
              <w:t>：“违反本办法规定，有下列行为之一的，由县级以上气象主管机构责令限期改正，拒不改正的，给予警告，可以并处3万元以下罚款，处罚结果纳入气象信息服务单位信用信息统计系统并向社会公示：（三）开展气象探测活动，未向设区的市级以上气象主管机构备案，或者未按照国家有关规定汇交所获得的气象探测资料的；”</w:t>
            </w:r>
          </w:p>
        </w:tc>
        <w:tc>
          <w:tcPr>
            <w:tcW w:w="2565" w:type="dxa"/>
            <w:vAlign w:val="center"/>
          </w:tcPr>
          <w:p w14:paraId="2FD8B3FB">
            <w:pPr>
              <w:numPr>
                <w:ilvl w:val="0"/>
                <w:numId w:val="9"/>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2076081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5B0E1195">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57777E9D">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4D817AC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0F1BA88B">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74437DBE">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08D74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03D5EDCD">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11</w:t>
            </w:r>
          </w:p>
        </w:tc>
        <w:tc>
          <w:tcPr>
            <w:tcW w:w="1492" w:type="dxa"/>
            <w:vAlign w:val="center"/>
          </w:tcPr>
          <w:p w14:paraId="56BE79D1">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对未按期提交年度报告或者提交的年度报告存在虚假内容的处罚</w:t>
            </w:r>
          </w:p>
        </w:tc>
        <w:tc>
          <w:tcPr>
            <w:tcW w:w="4140" w:type="dxa"/>
            <w:vAlign w:val="center"/>
          </w:tcPr>
          <w:p w14:paraId="4CAA9C89">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《升放气球管理办法》（中国气象局令第36号）第三十条</w:t>
            </w:r>
            <w:r>
              <w:rPr>
                <w:rFonts w:hint="eastAsia" w:ascii="仿宋_GB2312" w:hAnsi="仿宋_GB2312" w:cs="仿宋_GB2312"/>
                <w:color w:val="000000" w:themeColor="text1"/>
                <w:sz w:val="24"/>
                <w:szCs w:val="24"/>
                <w14:textFill>
                  <w14:solidFill>
                    <w14:schemeClr w14:val="tx1"/>
                  </w14:solidFill>
                </w14:textFill>
              </w:rPr>
              <w:t>：“违反本办法规定，有下列行为之一的，由县级以上气象主管机构按照权限责令改正，给予警告，可以处一万元以下罚款；情节严重的，处一万元以上三万元以下罚款；造成重大事故或者严重后果的，依照《安全生产法》有关规定处罚；构成犯罪的，依法追究刑事责任：（一）未按期提交年度报告或者提交的年度报告存在虚假内容的；”</w:t>
            </w:r>
          </w:p>
        </w:tc>
        <w:tc>
          <w:tcPr>
            <w:tcW w:w="2565" w:type="dxa"/>
            <w:vAlign w:val="center"/>
          </w:tcPr>
          <w:p w14:paraId="1A8C34DB">
            <w:pPr>
              <w:numPr>
                <w:ilvl w:val="0"/>
                <w:numId w:val="10"/>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7D9DB917">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7D235C4B">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22F75D76">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31481BF5">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50248C85">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p w14:paraId="32AC0A4A">
            <w:pPr>
              <w:spacing w:line="360" w:lineRule="exact"/>
              <w:jc w:val="center"/>
              <w:rPr>
                <w:rFonts w:ascii="仿宋_GB2312" w:hAnsi="仿宋_GB2312" w:cs="仿宋_GB2312"/>
                <w:color w:val="000000" w:themeColor="text1"/>
                <w:sz w:val="24"/>
                <w:szCs w:val="24"/>
                <w14:textFill>
                  <w14:solidFill>
                    <w14:schemeClr w14:val="tx1"/>
                  </w14:solidFill>
                </w14:textFill>
              </w:rPr>
            </w:pPr>
          </w:p>
        </w:tc>
        <w:tc>
          <w:tcPr>
            <w:tcW w:w="592" w:type="dxa"/>
            <w:vAlign w:val="center"/>
          </w:tcPr>
          <w:p w14:paraId="1F49EED0">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57AB8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50E223DA">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12</w:t>
            </w:r>
          </w:p>
        </w:tc>
        <w:tc>
          <w:tcPr>
            <w:tcW w:w="1492" w:type="dxa"/>
            <w:vAlign w:val="center"/>
          </w:tcPr>
          <w:p w14:paraId="7B2D1647">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应当进行气候可行性论证的建设项目，未经气候可行性论证；委托不具备气候可行性论证能力的机构进行气候可行性论证的处罚</w:t>
            </w:r>
          </w:p>
        </w:tc>
        <w:tc>
          <w:tcPr>
            <w:tcW w:w="4140" w:type="dxa"/>
            <w:vAlign w:val="center"/>
          </w:tcPr>
          <w:p w14:paraId="7BE85205">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（1）《气候可行性论证管理办法》（中国气象局令第18号）第十九条</w:t>
            </w:r>
            <w:r>
              <w:rPr>
                <w:rFonts w:hint="eastAsia" w:ascii="仿宋_GB2312" w:hAnsi="仿宋_GB2312" w:cs="仿宋_GB2312"/>
                <w:color w:val="000000" w:themeColor="text1"/>
                <w:sz w:val="24"/>
                <w:szCs w:val="24"/>
                <w14:textFill>
                  <w14:solidFill>
                    <w14:schemeClr w14:val="tx1"/>
                  </w14:solidFill>
                </w14:textFill>
              </w:rPr>
              <w:t>：“违反本办法规定，项目建设单位有下列行为之一的，由县级以上气象主管机构按照权限责令改正，给予警告，可以处3万元以下罚款；构成犯罪的，依法追究刑事责任：</w:t>
            </w:r>
          </w:p>
          <w:p w14:paraId="1049052F">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（一）应当进行气候可行性论证的建设项目，未经气候可行性论证的；</w:t>
            </w:r>
          </w:p>
          <w:p w14:paraId="6203F67A">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（二）委托不具备气候可行性论证能力的机构进行气候可行性论证的。”</w:t>
            </w:r>
          </w:p>
          <w:p w14:paraId="5AAA2C00">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（2）《河南省气候资源保护与开发利用条例》（2018年6月1日河南省第十三届人大常委会第三次会议审议通过）第三十九条第一项</w:t>
            </w:r>
            <w:r>
              <w:rPr>
                <w:rFonts w:hint="eastAsia" w:ascii="仿宋_GB2312" w:hAnsi="仿宋_GB2312" w:cs="仿宋_GB2312"/>
                <w:color w:val="000000" w:themeColor="text1"/>
                <w:sz w:val="24"/>
                <w:szCs w:val="24"/>
                <w14:textFill>
                  <w14:solidFill>
                    <w14:schemeClr w14:val="tx1"/>
                  </w14:solidFill>
                </w14:textFill>
              </w:rPr>
              <w:t>：“违反本条例规定，项目建设单位或者气候可行性论证机构有下列行为之一的，由县级以上气象主管机构按照权限责令改正；拒不改正的，处一万元以上五万元以下的罚款：　　　　</w:t>
            </w:r>
          </w:p>
          <w:p w14:paraId="68772C0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（一）应当进行气候可行性论证而未进行的；</w:t>
            </w:r>
          </w:p>
        </w:tc>
        <w:tc>
          <w:tcPr>
            <w:tcW w:w="2565" w:type="dxa"/>
            <w:vAlign w:val="center"/>
          </w:tcPr>
          <w:p w14:paraId="745919BF">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1.违法行为轻微并及时纠正，没有造成危害后果的。</w:t>
            </w:r>
          </w:p>
          <w:p w14:paraId="1C72F7D3">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4851B6B3">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5ADA2878">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 第三十三条 ：违法行为轻微并及时改正，没有造成危害后果的，不予行政处罚。初次违法且危害后果轻微并及时改正的，可以不予行政处罚。</w:t>
            </w:r>
          </w:p>
          <w:p w14:paraId="22B5F585">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43726986">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0393CEEC">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01AFA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03782FE4">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13</w:t>
            </w:r>
          </w:p>
        </w:tc>
        <w:tc>
          <w:tcPr>
            <w:tcW w:w="1492" w:type="dxa"/>
            <w:vAlign w:val="center"/>
          </w:tcPr>
          <w:p w14:paraId="662629EB">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防雷装置设计未经审核或者审核未通过，擅自施工的处罚</w:t>
            </w:r>
          </w:p>
        </w:tc>
        <w:tc>
          <w:tcPr>
            <w:tcW w:w="4140" w:type="dxa"/>
            <w:vAlign w:val="center"/>
          </w:tcPr>
          <w:p w14:paraId="76F4F2C1">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《气象灾害防御条例》（国务院令第570号）第四十五条</w:t>
            </w:r>
            <w:r>
              <w:rPr>
                <w:rFonts w:hint="eastAsia" w:ascii="仿宋_GB2312" w:hAnsi="仿宋_GB2312" w:cs="仿宋_GB2312"/>
                <w:color w:val="000000" w:themeColor="text1"/>
                <w:sz w:val="24"/>
                <w:szCs w:val="24"/>
                <w14:textFill>
                  <w14:solidFill>
                    <w14:schemeClr w14:val="tx1"/>
                  </w14:solidFill>
                </w14:textFill>
              </w:rPr>
              <w:t>：“违反本条例规定，有下列行为之一的，由县级以上气象主管机构或者其他有关部门按照权限责令停止违法行为，处5万元以上10万元以下的罚款；有违法所得的，没收违法所得；给他人造成损失的，依法承担赔偿责任：</w:t>
            </w:r>
          </w:p>
          <w:p w14:paraId="5E9A9E13">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（三）违反本条例第二十三条第三款的规定，雷电防护装置未经设计审核或者设计审核不合格施工的，未经竣工验收或者竣工验收不合格交付使用的。”</w:t>
            </w:r>
          </w:p>
        </w:tc>
        <w:tc>
          <w:tcPr>
            <w:tcW w:w="2565" w:type="dxa"/>
            <w:vAlign w:val="center"/>
          </w:tcPr>
          <w:p w14:paraId="3E4FC7EE">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1.违法行为轻微并及时纠正，没有造成危害后果的。</w:t>
            </w:r>
          </w:p>
          <w:p w14:paraId="0503E3D9">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117AC133">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0FF77546">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 第三十三条：违法行为轻微并及时改正，没有造成危害后果的，不予行政处罚。初次违法且危害后果轻微并及时改正的，可以不予行政处罚。</w:t>
            </w:r>
          </w:p>
          <w:p w14:paraId="015C6284">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46F35978">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4954248A">
            <w:pPr>
              <w:spacing w:line="360" w:lineRule="exact"/>
              <w:jc w:val="center"/>
              <w:rPr>
                <w:rFonts w:ascii="仿宋_GB2312" w:hAnsi="仿宋_GB2312" w:cs="仿宋_GB2312"/>
                <w:color w:val="000000" w:themeColor="text1"/>
                <w:sz w:val="24"/>
                <w:szCs w:val="24"/>
                <w14:textFill>
                  <w14:solidFill>
                    <w14:schemeClr w14:val="tx1"/>
                  </w14:solidFill>
                </w14:textFill>
              </w:rPr>
            </w:pPr>
          </w:p>
        </w:tc>
      </w:tr>
      <w:tr w14:paraId="1DB83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 w:type="dxa"/>
            <w:vAlign w:val="center"/>
          </w:tcPr>
          <w:p w14:paraId="7B56C2EA">
            <w:pPr>
              <w:rPr>
                <w:rFonts w:cs="黑体" w:asciiTheme="majorEastAsia" w:hAnsiTheme="majorEastAsia" w:eastAsiaTheme="majorEastAsia"/>
                <w:color w:val="000000" w:themeColor="text1"/>
                <w:sz w:val="24"/>
                <w:szCs w:val="24"/>
                <w14:textFill>
                  <w14:solidFill>
                    <w14:schemeClr w14:val="tx1"/>
                  </w14:solidFill>
                </w14:textFill>
              </w:rPr>
            </w:pPr>
            <w:r>
              <w:rPr>
                <w:rFonts w:hint="eastAsia" w:cs="黑体" w:asciiTheme="majorEastAsia" w:hAnsiTheme="majorEastAsia" w:eastAsiaTheme="majorEastAsia"/>
                <w:color w:val="000000" w:themeColor="text1"/>
                <w:sz w:val="24"/>
                <w:szCs w:val="24"/>
                <w14:textFill>
                  <w14:solidFill>
                    <w14:schemeClr w14:val="tx1"/>
                  </w14:solidFill>
                </w14:textFill>
              </w:rPr>
              <w:t>14</w:t>
            </w:r>
          </w:p>
        </w:tc>
        <w:tc>
          <w:tcPr>
            <w:tcW w:w="1492" w:type="dxa"/>
            <w:vAlign w:val="center"/>
          </w:tcPr>
          <w:p w14:paraId="3D00B0C5">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未经批准擅自施放的、未按照批准的申请施放的、在规定的禁止区域内施放无人驾驶自由气球或者系留气球的处罚；施放无人驾驶自由气球或系留气球未按照规定设置识别标志、未及时报告升放气球异常动态或者系留气球意外脱离时未按照规定及时报告的处罚</w:t>
            </w:r>
          </w:p>
        </w:tc>
        <w:tc>
          <w:tcPr>
            <w:tcW w:w="4140" w:type="dxa"/>
            <w:vAlign w:val="center"/>
          </w:tcPr>
          <w:p w14:paraId="1F448C41">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b/>
                <w:bCs/>
                <w:color w:val="000000" w:themeColor="text1"/>
                <w:sz w:val="24"/>
                <w:szCs w:val="24"/>
                <w14:textFill>
                  <w14:solidFill>
                    <w14:schemeClr w14:val="tx1"/>
                  </w14:solidFill>
                </w14:textFill>
              </w:rPr>
              <w:t>《通用航空飞行管制条例》（国务院，中央军事委员会371号令）第四十三条</w:t>
            </w:r>
            <w:r>
              <w:rPr>
                <w:rFonts w:hint="eastAsia" w:ascii="仿宋_GB2312" w:hAnsi="仿宋_GB2312" w:cs="仿宋_GB2312"/>
                <w:color w:val="000000" w:themeColor="text1"/>
                <w:sz w:val="24"/>
                <w:szCs w:val="24"/>
                <w14:textFill>
                  <w14:solidFill>
                    <w14:schemeClr w14:val="tx1"/>
                  </w14:solidFill>
                </w14:textFill>
              </w:rPr>
              <w:t>：违反本条例规定，升放无人驾驶自由气球或者系留气球，有下列情形之一的，由气象主管机构或者有关部门按照职责分工责令改正，给予警告；情节严重的，处１万元以上５万元以下罚款；造成重大事故或者严重后果的，依照刑法关于重大责任事故罪或者其他罪的规定，依法追究刑事责任：（一）未经批准擅自升放的；（二）未按照批准的申请升放的；（三）未按照规定设置识别标志的；（四）未及时报告升放动态或者系留气球意外脱离时未按照规定及时报告的；（五）在规定的禁止区域内升放的。</w:t>
            </w:r>
          </w:p>
        </w:tc>
        <w:tc>
          <w:tcPr>
            <w:tcW w:w="2565" w:type="dxa"/>
            <w:vAlign w:val="center"/>
          </w:tcPr>
          <w:p w14:paraId="6A3EF962">
            <w:pPr>
              <w:numPr>
                <w:ilvl w:val="0"/>
                <w:numId w:val="11"/>
              </w:num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违法行为轻微并及时纠正，没有造成危害后果的。</w:t>
            </w:r>
          </w:p>
          <w:p w14:paraId="62D077D5">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2.初次违法且危害后果轻微并及时纠正的。</w:t>
            </w:r>
          </w:p>
          <w:p w14:paraId="278591C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3.当事人有证据足以证明没有主</w:t>
            </w:r>
            <w:r>
              <w:rPr>
                <w:rFonts w:hint="eastAsia" w:ascii="仿宋_GB2312" w:hAnsi="仿宋_GB2312" w:cs="仿宋_GB2312"/>
                <w:color w:val="000000" w:themeColor="text1"/>
                <w:sz w:val="24"/>
                <w:szCs w:val="24"/>
                <w:lang w:val="en-US" w:eastAsia="zh-CN"/>
                <w14:textFill>
                  <w14:solidFill>
                    <w14:schemeClr w14:val="tx1"/>
                  </w14:solidFill>
                </w14:textFill>
              </w:rPr>
              <w:t>观</w:t>
            </w:r>
            <w:r>
              <w:rPr>
                <w:rFonts w:hint="eastAsia" w:ascii="仿宋_GB2312" w:hAnsi="仿宋_GB2312" w:cs="仿宋_GB2312"/>
                <w:color w:val="000000" w:themeColor="text1"/>
                <w:sz w:val="24"/>
                <w:szCs w:val="24"/>
                <w14:textFill>
                  <w14:solidFill>
                    <w14:schemeClr w14:val="tx1"/>
                  </w14:solidFill>
                </w14:textFill>
              </w:rPr>
              <w:t>过错的。</w:t>
            </w:r>
          </w:p>
        </w:tc>
        <w:tc>
          <w:tcPr>
            <w:tcW w:w="2475" w:type="dxa"/>
            <w:vAlign w:val="center"/>
          </w:tcPr>
          <w:p w14:paraId="662BA170">
            <w:pPr>
              <w:spacing w:line="320" w:lineRule="exact"/>
              <w:rPr>
                <w:rFonts w:ascii="仿宋_GB2312" w:hAnsi="仿宋_GB2312" w:cs="仿宋_GB2312"/>
                <w:color w:val="000000" w:themeColor="text1"/>
                <w:sz w:val="24"/>
                <w:szCs w:val="24"/>
                <w:shd w:val="clear" w:color="auto" w:fill="FFFFFF"/>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《中华人民共和国行政处罚法》</w:t>
            </w:r>
            <w:r>
              <w:rPr>
                <w:rFonts w:hint="eastAsia" w:ascii="仿宋_GB2312" w:hAnsi="仿宋_GB2312" w:cs="仿宋_GB2312"/>
                <w:color w:val="000000" w:themeColor="text1"/>
                <w:sz w:val="24"/>
                <w:szCs w:val="24"/>
                <w:shd w:val="clear" w:color="auto" w:fill="FFFFFF"/>
                <w14:textFill>
                  <w14:solidFill>
                    <w14:schemeClr w14:val="tx1"/>
                  </w14:solidFill>
                </w14:textFill>
              </w:rPr>
              <w:t>第三十三条：违法行为轻微并及时改正，没有造成危害后果的，不予行政处罚。初次违法且危害后果轻微并及时改正的，可以不予行政处罚。</w:t>
            </w:r>
          </w:p>
          <w:p w14:paraId="162550D2">
            <w:pPr>
              <w:spacing w:line="320" w:lineRule="exact"/>
              <w:rPr>
                <w:rFonts w:ascii="仿宋_GB2312" w:hAnsi="仿宋_GB2312" w:cs="仿宋_GB2312"/>
                <w:color w:val="000000" w:themeColor="text1"/>
                <w:sz w:val="24"/>
                <w:szCs w:val="24"/>
                <w14:textFill>
                  <w14:solidFill>
                    <w14:schemeClr w14:val="tx1"/>
                  </w14:solidFill>
                </w14:textFill>
              </w:rPr>
            </w:pPr>
            <w:r>
              <w:rPr>
                <w:rFonts w:hint="eastAsia" w:ascii="仿宋_GB2312" w:hAnsi="仿宋_GB2312" w:cs="仿宋_GB2312"/>
                <w:color w:val="000000" w:themeColor="text1"/>
                <w:sz w:val="24"/>
                <w:szCs w:val="24"/>
                <w:shd w:val="clear" w:color="auto" w:fill="FFFFFF"/>
                <w14:textFill>
                  <w14:solidFill>
                    <w14:schemeClr w14:val="tx1"/>
                  </w14:solidFill>
                </w14:textFill>
              </w:rPr>
              <w:t>当事人有证据足以证明没有主观过错的，不予行政处罚。</w:t>
            </w:r>
          </w:p>
        </w:tc>
        <w:tc>
          <w:tcPr>
            <w:tcW w:w="1301" w:type="dxa"/>
            <w:vAlign w:val="center"/>
          </w:tcPr>
          <w:p w14:paraId="4930E368">
            <w:pPr>
              <w:spacing w:line="360" w:lineRule="exact"/>
              <w:jc w:val="center"/>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cs="仿宋_GB2312"/>
                <w:color w:val="000000" w:themeColor="text1"/>
                <w:sz w:val="24"/>
                <w:szCs w:val="24"/>
                <w14:textFill>
                  <w14:solidFill>
                    <w14:schemeClr w14:val="tx1"/>
                  </w14:solidFill>
                </w14:textFill>
              </w:rPr>
              <w:t>对当事人进行教育；纳入重点监管名录，加强行政执法检查</w:t>
            </w:r>
            <w:r>
              <w:rPr>
                <w:rFonts w:hint="eastAsia" w:ascii="仿宋_GB2312" w:hAnsi="仿宋_GB2312" w:cs="仿宋_GB2312"/>
                <w:color w:val="000000" w:themeColor="text1"/>
                <w:sz w:val="24"/>
                <w:szCs w:val="24"/>
                <w:lang w:eastAsia="zh-CN"/>
                <w14:textFill>
                  <w14:solidFill>
                    <w14:schemeClr w14:val="tx1"/>
                  </w14:solidFill>
                </w14:textFill>
              </w:rPr>
              <w:t>。</w:t>
            </w:r>
          </w:p>
        </w:tc>
        <w:tc>
          <w:tcPr>
            <w:tcW w:w="592" w:type="dxa"/>
            <w:vAlign w:val="center"/>
          </w:tcPr>
          <w:p w14:paraId="7CCF16F2">
            <w:pPr>
              <w:spacing w:line="360" w:lineRule="exact"/>
              <w:jc w:val="center"/>
              <w:rPr>
                <w:rFonts w:ascii="仿宋_GB2312" w:hAnsi="仿宋_GB2312" w:cs="仿宋_GB2312"/>
                <w:color w:val="000000" w:themeColor="text1"/>
                <w:sz w:val="24"/>
                <w:szCs w:val="24"/>
                <w14:textFill>
                  <w14:solidFill>
                    <w14:schemeClr w14:val="tx1"/>
                  </w14:solidFill>
                </w14:textFill>
              </w:rPr>
            </w:pPr>
          </w:p>
        </w:tc>
      </w:tr>
    </w:tbl>
    <w:p w14:paraId="355D503A">
      <w:pPr>
        <w:jc w:val="center"/>
        <w:rPr>
          <w:rFonts w:hint="eastAsia" w:ascii="方正小标宋简体" w:hAnsi="方正小标宋简体" w:eastAsia="方正小标宋简体" w:cs="方正小标宋简体"/>
          <w:sz w:val="44"/>
          <w:szCs w:val="44"/>
        </w:rPr>
      </w:pPr>
    </w:p>
    <w:p w14:paraId="5E1AD310">
      <w:pPr>
        <w:keepNext w:val="0"/>
        <w:keepLines w:val="0"/>
        <w:pageBreakBefore w:val="0"/>
        <w:widowControl w:val="0"/>
        <w:kinsoku/>
        <w:wordWrap/>
        <w:overflowPunct/>
        <w:topLinePunct w:val="0"/>
        <w:autoSpaceDE/>
        <w:autoSpaceDN/>
        <w:bidi w:val="0"/>
        <w:adjustRightInd/>
        <w:snapToGrid/>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rPr>
        <w:t>濮阳</w:t>
      </w:r>
      <w:r>
        <w:rPr>
          <w:rFonts w:hint="eastAsia" w:ascii="方正小标宋简体" w:hAnsi="方正小标宋简体" w:eastAsia="方正小标宋简体" w:cs="方正小标宋简体"/>
          <w:color w:val="000000"/>
          <w:kern w:val="0"/>
          <w:sz w:val="44"/>
          <w:szCs w:val="44"/>
        </w:rPr>
        <w:t>市气象局行政执法“四张清单”</w:t>
      </w:r>
    </w:p>
    <w:p w14:paraId="259A0926">
      <w:pPr>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从轻处罚事项清单</w:t>
      </w:r>
      <w:r>
        <w:rPr>
          <w:rFonts w:hint="eastAsia" w:ascii="楷体_GB2312" w:hAnsi="楷体_GB2312" w:eastAsia="楷体_GB2312" w:cs="楷体_GB2312"/>
          <w:b/>
          <w:bCs/>
          <w:sz w:val="32"/>
          <w:szCs w:val="32"/>
          <w:lang w:eastAsia="zh-CN"/>
        </w:rPr>
        <w:t>）</w:t>
      </w:r>
    </w:p>
    <w:p w14:paraId="6490F3AF">
      <w:pPr>
        <w:spacing w:line="440" w:lineRule="exact"/>
      </w:pPr>
    </w:p>
    <w:tbl>
      <w:tblPr>
        <w:tblStyle w:val="6"/>
        <w:tblW w:w="13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179"/>
        <w:gridCol w:w="6424"/>
        <w:gridCol w:w="1355"/>
        <w:gridCol w:w="1373"/>
        <w:gridCol w:w="973"/>
        <w:gridCol w:w="1200"/>
        <w:gridCol w:w="693"/>
      </w:tblGrid>
      <w:tr w14:paraId="4EAF6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79" w:type="dxa"/>
            <w:vAlign w:val="center"/>
          </w:tcPr>
          <w:p w14:paraId="71B05AD7">
            <w:pPr>
              <w:spacing w:line="360" w:lineRule="exact"/>
              <w:jc w:val="center"/>
              <w:rPr>
                <w:rFonts w:ascii="黑体" w:hAnsi="黑体" w:eastAsia="黑体" w:cs="黑体"/>
                <w:sz w:val="28"/>
                <w:szCs w:val="28"/>
              </w:rPr>
            </w:pPr>
            <w:r>
              <w:rPr>
                <w:rFonts w:hint="eastAsia" w:ascii="黑体" w:hAnsi="黑体" w:eastAsia="黑体" w:cs="黑体"/>
                <w:sz w:val="28"/>
                <w:szCs w:val="28"/>
              </w:rPr>
              <w:t>序号</w:t>
            </w:r>
          </w:p>
        </w:tc>
        <w:tc>
          <w:tcPr>
            <w:tcW w:w="1179" w:type="dxa"/>
            <w:vAlign w:val="center"/>
          </w:tcPr>
          <w:p w14:paraId="71A6F393">
            <w:pPr>
              <w:spacing w:line="360" w:lineRule="exact"/>
              <w:jc w:val="center"/>
              <w:rPr>
                <w:rFonts w:ascii="黑体" w:hAnsi="黑体" w:eastAsia="黑体" w:cs="黑体"/>
                <w:sz w:val="28"/>
                <w:szCs w:val="28"/>
              </w:rPr>
            </w:pPr>
            <w:r>
              <w:rPr>
                <w:rFonts w:hint="eastAsia" w:ascii="黑体" w:hAnsi="黑体" w:eastAsia="黑体" w:cs="黑体"/>
                <w:sz w:val="28"/>
                <w:szCs w:val="28"/>
              </w:rPr>
              <w:t>事项</w:t>
            </w:r>
          </w:p>
          <w:p w14:paraId="13BBB4B0">
            <w:pPr>
              <w:spacing w:line="360" w:lineRule="exact"/>
              <w:jc w:val="center"/>
              <w:rPr>
                <w:rFonts w:ascii="黑体" w:hAnsi="黑体" w:eastAsia="黑体" w:cs="黑体"/>
                <w:sz w:val="28"/>
                <w:szCs w:val="28"/>
              </w:rPr>
            </w:pPr>
            <w:r>
              <w:rPr>
                <w:rFonts w:hint="eastAsia" w:ascii="黑体" w:hAnsi="黑体" w:eastAsia="黑体" w:cs="黑体"/>
                <w:sz w:val="28"/>
                <w:szCs w:val="28"/>
              </w:rPr>
              <w:t>名称</w:t>
            </w:r>
          </w:p>
        </w:tc>
        <w:tc>
          <w:tcPr>
            <w:tcW w:w="6424" w:type="dxa"/>
            <w:vAlign w:val="center"/>
          </w:tcPr>
          <w:p w14:paraId="3E28E4B2">
            <w:pPr>
              <w:spacing w:line="360" w:lineRule="exact"/>
              <w:jc w:val="center"/>
              <w:rPr>
                <w:rFonts w:ascii="黑体" w:hAnsi="黑体" w:eastAsia="黑体" w:cs="黑体"/>
                <w:sz w:val="28"/>
                <w:szCs w:val="28"/>
              </w:rPr>
            </w:pPr>
            <w:r>
              <w:rPr>
                <w:rFonts w:hint="eastAsia" w:ascii="黑体" w:hAnsi="黑体" w:eastAsia="黑体" w:cs="黑体"/>
                <w:sz w:val="28"/>
                <w:szCs w:val="28"/>
              </w:rPr>
              <w:t>设定依据</w:t>
            </w:r>
          </w:p>
        </w:tc>
        <w:tc>
          <w:tcPr>
            <w:tcW w:w="1355" w:type="dxa"/>
            <w:vAlign w:val="center"/>
          </w:tcPr>
          <w:p w14:paraId="762B1C9D">
            <w:pPr>
              <w:spacing w:line="360" w:lineRule="exact"/>
              <w:jc w:val="center"/>
              <w:rPr>
                <w:rFonts w:ascii="黑体" w:hAnsi="黑体" w:eastAsia="黑体" w:cs="黑体"/>
                <w:sz w:val="28"/>
                <w:szCs w:val="28"/>
              </w:rPr>
            </w:pPr>
            <w:r>
              <w:rPr>
                <w:rFonts w:hint="eastAsia" w:ascii="黑体" w:hAnsi="黑体" w:eastAsia="黑体" w:cs="黑体"/>
                <w:sz w:val="28"/>
                <w:szCs w:val="28"/>
              </w:rPr>
              <w:t>适用</w:t>
            </w:r>
          </w:p>
          <w:p w14:paraId="6DD0D361">
            <w:pPr>
              <w:spacing w:line="360" w:lineRule="exact"/>
              <w:jc w:val="center"/>
              <w:rPr>
                <w:rFonts w:ascii="黑体" w:hAnsi="黑体" w:eastAsia="黑体" w:cs="黑体"/>
                <w:sz w:val="28"/>
                <w:szCs w:val="28"/>
              </w:rPr>
            </w:pPr>
            <w:r>
              <w:rPr>
                <w:rFonts w:hint="eastAsia" w:ascii="黑体" w:hAnsi="黑体" w:eastAsia="黑体" w:cs="黑体"/>
                <w:sz w:val="28"/>
                <w:szCs w:val="28"/>
              </w:rPr>
              <w:t>情形</w:t>
            </w:r>
          </w:p>
        </w:tc>
        <w:tc>
          <w:tcPr>
            <w:tcW w:w="1373" w:type="dxa"/>
            <w:vAlign w:val="center"/>
          </w:tcPr>
          <w:p w14:paraId="70F15D8D">
            <w:pPr>
              <w:spacing w:line="360" w:lineRule="exact"/>
              <w:jc w:val="center"/>
              <w:rPr>
                <w:rFonts w:ascii="黑体" w:hAnsi="黑体" w:eastAsia="黑体" w:cs="黑体"/>
                <w:sz w:val="28"/>
                <w:szCs w:val="28"/>
              </w:rPr>
            </w:pPr>
            <w:r>
              <w:rPr>
                <w:rFonts w:hint="eastAsia" w:ascii="黑体" w:hAnsi="黑体" w:eastAsia="黑体" w:cs="黑体"/>
                <w:sz w:val="28"/>
                <w:szCs w:val="28"/>
              </w:rPr>
              <w:t>从轻处罚依据</w:t>
            </w:r>
          </w:p>
        </w:tc>
        <w:tc>
          <w:tcPr>
            <w:tcW w:w="973" w:type="dxa"/>
            <w:vAlign w:val="center"/>
          </w:tcPr>
          <w:p w14:paraId="47611DB0">
            <w:pPr>
              <w:spacing w:line="360" w:lineRule="exact"/>
              <w:jc w:val="center"/>
              <w:rPr>
                <w:rFonts w:ascii="黑体" w:hAnsi="黑体" w:eastAsia="黑体" w:cs="黑体"/>
                <w:sz w:val="28"/>
                <w:szCs w:val="28"/>
              </w:rPr>
            </w:pPr>
            <w:r>
              <w:rPr>
                <w:rFonts w:hint="eastAsia" w:ascii="黑体" w:hAnsi="黑体" w:eastAsia="黑体" w:cs="黑体"/>
                <w:sz w:val="28"/>
                <w:szCs w:val="28"/>
              </w:rPr>
              <w:t>裁量</w:t>
            </w:r>
          </w:p>
          <w:p w14:paraId="13F1C616">
            <w:pPr>
              <w:spacing w:line="360" w:lineRule="exact"/>
              <w:jc w:val="center"/>
              <w:rPr>
                <w:rFonts w:ascii="黑体" w:hAnsi="黑体" w:eastAsia="黑体" w:cs="黑体"/>
                <w:sz w:val="28"/>
                <w:szCs w:val="28"/>
              </w:rPr>
            </w:pPr>
            <w:r>
              <w:rPr>
                <w:rFonts w:hint="eastAsia" w:ascii="黑体" w:hAnsi="黑体" w:eastAsia="黑体" w:cs="黑体"/>
                <w:sz w:val="28"/>
                <w:szCs w:val="28"/>
              </w:rPr>
              <w:t>幅度</w:t>
            </w:r>
          </w:p>
        </w:tc>
        <w:tc>
          <w:tcPr>
            <w:tcW w:w="1200" w:type="dxa"/>
            <w:vAlign w:val="center"/>
          </w:tcPr>
          <w:p w14:paraId="20512B40">
            <w:pPr>
              <w:spacing w:line="360" w:lineRule="exact"/>
              <w:jc w:val="center"/>
              <w:rPr>
                <w:rFonts w:ascii="黑体" w:hAnsi="黑体" w:eastAsia="黑体" w:cs="黑体"/>
                <w:sz w:val="28"/>
                <w:szCs w:val="28"/>
              </w:rPr>
            </w:pPr>
            <w:r>
              <w:rPr>
                <w:rFonts w:hint="eastAsia" w:ascii="黑体" w:hAnsi="黑体" w:eastAsia="黑体" w:cs="黑体"/>
                <w:sz w:val="28"/>
                <w:szCs w:val="28"/>
              </w:rPr>
              <w:t>配套监管措施</w:t>
            </w:r>
          </w:p>
        </w:tc>
        <w:tc>
          <w:tcPr>
            <w:tcW w:w="693" w:type="dxa"/>
            <w:vAlign w:val="center"/>
          </w:tcPr>
          <w:p w14:paraId="21F1CDEF">
            <w:pPr>
              <w:spacing w:line="360" w:lineRule="exact"/>
              <w:jc w:val="center"/>
              <w:rPr>
                <w:rFonts w:ascii="黑体" w:hAnsi="黑体" w:eastAsia="黑体" w:cs="黑体"/>
                <w:sz w:val="28"/>
                <w:szCs w:val="28"/>
              </w:rPr>
            </w:pPr>
            <w:r>
              <w:rPr>
                <w:rFonts w:hint="eastAsia" w:ascii="黑体" w:hAnsi="黑体" w:eastAsia="黑体" w:cs="黑体"/>
                <w:sz w:val="28"/>
                <w:szCs w:val="28"/>
              </w:rPr>
              <w:t>备注</w:t>
            </w:r>
          </w:p>
        </w:tc>
      </w:tr>
      <w:tr w14:paraId="10882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vAlign w:val="center"/>
          </w:tcPr>
          <w:p w14:paraId="134A1AD2">
            <w:pPr>
              <w:jc w:val="center"/>
              <w:rPr>
                <w:rFonts w:ascii="仿宋_GB2312" w:hAnsi="仿宋_GB2312" w:cs="仿宋_GB2312"/>
                <w:sz w:val="24"/>
                <w:szCs w:val="24"/>
              </w:rPr>
            </w:pPr>
            <w:r>
              <w:rPr>
                <w:rFonts w:hint="eastAsia" w:ascii="仿宋_GB2312" w:hAnsi="仿宋_GB2312" w:cs="仿宋_GB2312"/>
                <w:sz w:val="24"/>
                <w:szCs w:val="24"/>
              </w:rPr>
              <w:t>1</w:t>
            </w:r>
          </w:p>
        </w:tc>
        <w:tc>
          <w:tcPr>
            <w:tcW w:w="1179" w:type="dxa"/>
            <w:vAlign w:val="center"/>
          </w:tcPr>
          <w:p w14:paraId="4FE7574D">
            <w:pPr>
              <w:spacing w:line="320" w:lineRule="exact"/>
              <w:rPr>
                <w:rFonts w:ascii="仿宋_GB2312" w:hAnsi="仿宋_GB2312" w:cs="仿宋_GB2312"/>
                <w:sz w:val="24"/>
                <w:szCs w:val="24"/>
              </w:rPr>
            </w:pPr>
            <w:r>
              <w:rPr>
                <w:rFonts w:hint="eastAsia" w:ascii="仿宋_GB2312" w:hAnsi="仿宋_GB2312" w:cs="仿宋_GB2312"/>
                <w:sz w:val="24"/>
                <w:szCs w:val="24"/>
              </w:rPr>
              <w:t>非法向社会发布公众气象预报、灾害性天气警报的处罚</w:t>
            </w:r>
          </w:p>
        </w:tc>
        <w:tc>
          <w:tcPr>
            <w:tcW w:w="6424" w:type="dxa"/>
            <w:vAlign w:val="center"/>
          </w:tcPr>
          <w:p w14:paraId="6FCAC056">
            <w:pPr>
              <w:spacing w:line="320" w:lineRule="exact"/>
              <w:rPr>
                <w:rFonts w:ascii="仿宋_GB2312" w:hAnsi="仿宋_GB2312" w:cs="仿宋_GB2312"/>
                <w:sz w:val="24"/>
                <w:szCs w:val="24"/>
              </w:rPr>
            </w:pPr>
            <w:r>
              <w:rPr>
                <w:rFonts w:hint="eastAsia" w:ascii="仿宋_GB2312" w:hAnsi="仿宋_GB2312" w:cs="仿宋_GB2312"/>
                <w:b/>
                <w:bCs/>
                <w:sz w:val="24"/>
                <w:szCs w:val="24"/>
              </w:rPr>
              <w:t>1.《中华人民共和国气象法》第三十八条第一项</w:t>
            </w:r>
            <w:r>
              <w:rPr>
                <w:rFonts w:hint="eastAsia" w:ascii="仿宋_GB2312" w:hAnsi="仿宋_GB2312" w:cs="仿宋_GB2312"/>
                <w:sz w:val="24"/>
                <w:szCs w:val="24"/>
              </w:rPr>
              <w:t>：“违反本法规定，有下列行为之一的，由有关气象主管机构按照权限责令改正，给予警告，可以并处5万元以下的罚款：（一）非法向社会发布公众气象预报、灾害性天气警报的；”</w:t>
            </w:r>
          </w:p>
          <w:p w14:paraId="001308F3">
            <w:pPr>
              <w:spacing w:line="320" w:lineRule="exact"/>
              <w:rPr>
                <w:rFonts w:ascii="仿宋_GB2312" w:hAnsi="仿宋_GB2312" w:cs="仿宋_GB2312"/>
                <w:sz w:val="24"/>
                <w:szCs w:val="24"/>
              </w:rPr>
            </w:pPr>
            <w:r>
              <w:rPr>
                <w:rFonts w:hint="eastAsia" w:ascii="仿宋_GB2312" w:hAnsi="仿宋_GB2312" w:cs="仿宋_GB2312"/>
                <w:b/>
                <w:bCs/>
                <w:sz w:val="24"/>
                <w:szCs w:val="24"/>
              </w:rPr>
              <w:t>2.《气象灾害防御条例》第四十六条第一项</w:t>
            </w:r>
            <w:r>
              <w:rPr>
                <w:rFonts w:hint="eastAsia" w:ascii="仿宋_GB2312" w:hAnsi="仿宋_GB2312" w:cs="仿宋_GB2312"/>
                <w:sz w:val="24"/>
                <w:szCs w:val="24"/>
              </w:rPr>
              <w:t>：“违反本条例规定，有下列行为之一的，由县级以上气象主管机构责令改正，给予警告，可以处5万元以下的罚款；构成违反治安管理行为的，由公安机关依法给予处罚：（一）擅自向社会发布灾害性天气警报、气象灾害预警信号的；”</w:t>
            </w:r>
          </w:p>
          <w:p w14:paraId="39D9CB27">
            <w:pPr>
              <w:spacing w:line="320" w:lineRule="exact"/>
              <w:rPr>
                <w:rFonts w:ascii="仿宋_GB2312" w:hAnsi="仿宋_GB2312" w:cs="仿宋_GB2312"/>
                <w:sz w:val="24"/>
                <w:szCs w:val="24"/>
              </w:rPr>
            </w:pPr>
            <w:r>
              <w:rPr>
                <w:rFonts w:hint="eastAsia" w:ascii="仿宋_GB2312" w:hAnsi="仿宋_GB2312" w:cs="仿宋_GB2312"/>
                <w:b/>
                <w:bCs/>
                <w:sz w:val="24"/>
                <w:szCs w:val="24"/>
              </w:rPr>
              <w:t>3.《河南省气象灾害防御条例》第三十六条</w:t>
            </w:r>
            <w:r>
              <w:rPr>
                <w:rFonts w:hint="eastAsia" w:ascii="仿宋_GB2312" w:hAnsi="仿宋_GB2312" w:cs="仿宋_GB2312"/>
                <w:sz w:val="24"/>
                <w:szCs w:val="24"/>
              </w:rPr>
              <w:t>：“违反本条例第二十二条第二款擅自向社会发布灾害性天气预报、警报的，由气象主管机构给予警告，可以并处5000元以上5万元以下的罚款；构成犯罪的，依法追究刑事责任。”</w:t>
            </w:r>
          </w:p>
          <w:p w14:paraId="0D71B062">
            <w:pPr>
              <w:spacing w:line="320" w:lineRule="exact"/>
              <w:rPr>
                <w:rFonts w:ascii="仿宋_GB2312" w:hAnsi="仿宋_GB2312" w:cs="仿宋_GB2312"/>
                <w:sz w:val="24"/>
                <w:szCs w:val="24"/>
              </w:rPr>
            </w:pPr>
            <w:r>
              <w:rPr>
                <w:rFonts w:hint="eastAsia" w:ascii="仿宋_GB2312" w:hAnsi="仿宋_GB2312" w:cs="仿宋_GB2312"/>
                <w:b/>
                <w:bCs/>
                <w:sz w:val="24"/>
                <w:szCs w:val="24"/>
              </w:rPr>
              <w:t>4.《气象预报发布与传播管理办法》（中国气象局令第26号）第十二条第一项</w:t>
            </w:r>
            <w:r>
              <w:rPr>
                <w:rFonts w:hint="eastAsia" w:ascii="仿宋_GB2312" w:hAnsi="仿宋_GB2312" w:cs="仿宋_GB2312"/>
                <w:sz w:val="24"/>
                <w:szCs w:val="24"/>
              </w:rPr>
              <w:t>：“违反本办法规定，有下列行为之一的，由有关气象主管机构按照权限责令改正，给予警告，可以并处5万元以下罚款：（一）非法发布气象预报的；”</w:t>
            </w:r>
          </w:p>
        </w:tc>
        <w:tc>
          <w:tcPr>
            <w:tcW w:w="1355" w:type="dxa"/>
            <w:vAlign w:val="center"/>
          </w:tcPr>
          <w:p w14:paraId="7593634C">
            <w:pPr>
              <w:spacing w:line="320" w:lineRule="exact"/>
              <w:rPr>
                <w:rFonts w:ascii="仿宋_GB2312" w:hAnsi="仿宋_GB2312" w:cs="仿宋_GB2312"/>
                <w:sz w:val="24"/>
                <w:szCs w:val="24"/>
              </w:rPr>
            </w:pPr>
            <w:r>
              <w:rPr>
                <w:rFonts w:hint="eastAsia" w:ascii="仿宋_GB2312" w:hAnsi="仿宋_GB2312" w:cs="仿宋_GB2312"/>
                <w:sz w:val="24"/>
                <w:szCs w:val="24"/>
              </w:rPr>
              <w:t>首次被发现，能立即停止违法行为，非法发布公众天气预报或灾害性天气警报未造成社会危害</w:t>
            </w:r>
          </w:p>
        </w:tc>
        <w:tc>
          <w:tcPr>
            <w:tcW w:w="1373" w:type="dxa"/>
            <w:vAlign w:val="center"/>
          </w:tcPr>
          <w:p w14:paraId="2A6250F3">
            <w:pPr>
              <w:spacing w:line="320" w:lineRule="exact"/>
              <w:rPr>
                <w:rFonts w:ascii="仿宋_GB2312" w:hAnsi="仿宋_GB2312" w:cs="仿宋_GB2312"/>
                <w:sz w:val="24"/>
                <w:szCs w:val="24"/>
              </w:rPr>
            </w:pPr>
            <w:r>
              <w:rPr>
                <w:rFonts w:hint="eastAsia" w:ascii="仿宋_GB2312" w:hAnsi="仿宋_GB2312" w:cs="仿宋_GB2312"/>
                <w:sz w:val="24"/>
                <w:szCs w:val="24"/>
              </w:rPr>
              <w:t>《中华人民共和国行政处罚法》第三十二条第一项：“当事人有下列情形之一，应当从轻或者减轻行政处罚：</w:t>
            </w:r>
          </w:p>
          <w:p w14:paraId="57217A39">
            <w:pPr>
              <w:spacing w:line="320" w:lineRule="exact"/>
              <w:rPr>
                <w:rFonts w:ascii="仿宋_GB2312" w:hAnsi="仿宋_GB2312" w:cs="仿宋_GB2312"/>
                <w:sz w:val="24"/>
                <w:szCs w:val="24"/>
              </w:rPr>
            </w:pPr>
            <w:r>
              <w:rPr>
                <w:rFonts w:hint="eastAsia" w:ascii="仿宋_GB2312" w:hAnsi="仿宋_GB2312" w:cs="仿宋_GB2312"/>
                <w:sz w:val="24"/>
                <w:szCs w:val="24"/>
              </w:rPr>
              <w:t>（一）主动消除或者减轻违法行为危害后果的；”</w:t>
            </w:r>
          </w:p>
          <w:p w14:paraId="10A32C0C">
            <w:pPr>
              <w:spacing w:line="320" w:lineRule="exact"/>
              <w:rPr>
                <w:rFonts w:ascii="仿宋_GB2312" w:hAnsi="仿宋_GB2312" w:cs="仿宋_GB2312"/>
                <w:sz w:val="24"/>
                <w:szCs w:val="24"/>
              </w:rPr>
            </w:pPr>
          </w:p>
        </w:tc>
        <w:tc>
          <w:tcPr>
            <w:tcW w:w="973" w:type="dxa"/>
            <w:vAlign w:val="center"/>
          </w:tcPr>
          <w:p w14:paraId="4AB6479B">
            <w:pPr>
              <w:spacing w:line="320" w:lineRule="exact"/>
              <w:rPr>
                <w:rFonts w:ascii="仿宋_GB2312" w:hAnsi="仿宋_GB2312" w:cs="仿宋_GB2312"/>
                <w:sz w:val="24"/>
                <w:szCs w:val="24"/>
              </w:rPr>
            </w:pPr>
            <w:r>
              <w:rPr>
                <w:rFonts w:hint="eastAsia" w:ascii="仿宋_GB2312" w:hAnsi="仿宋_GB2312" w:cs="仿宋_GB2312"/>
                <w:sz w:val="24"/>
                <w:szCs w:val="24"/>
              </w:rPr>
              <w:t>警告，不予</w:t>
            </w:r>
          </w:p>
          <w:p w14:paraId="646910A3">
            <w:pPr>
              <w:spacing w:line="320" w:lineRule="exact"/>
              <w:rPr>
                <w:rFonts w:ascii="仿宋_GB2312" w:hAnsi="仿宋_GB2312" w:cs="仿宋_GB2312"/>
                <w:sz w:val="24"/>
                <w:szCs w:val="24"/>
              </w:rPr>
            </w:pPr>
            <w:r>
              <w:rPr>
                <w:rFonts w:hint="eastAsia" w:ascii="仿宋_GB2312" w:hAnsi="仿宋_GB2312" w:cs="仿宋_GB2312"/>
                <w:sz w:val="24"/>
                <w:szCs w:val="24"/>
              </w:rPr>
              <w:t>罚款</w:t>
            </w:r>
          </w:p>
        </w:tc>
        <w:tc>
          <w:tcPr>
            <w:tcW w:w="1200" w:type="dxa"/>
            <w:vAlign w:val="center"/>
          </w:tcPr>
          <w:p w14:paraId="4A9F15FF">
            <w:pPr>
              <w:spacing w:line="320" w:lineRule="exact"/>
              <w:rPr>
                <w:rFonts w:hint="eastAsia" w:ascii="仿宋_GB2312" w:hAnsi="仿宋_GB2312" w:eastAsia="仿宋_GB2312" w:cs="仿宋_GB2312"/>
                <w:sz w:val="24"/>
                <w:szCs w:val="24"/>
                <w:lang w:eastAsia="zh-CN"/>
              </w:rPr>
            </w:pPr>
            <w:r>
              <w:rPr>
                <w:rFonts w:hint="eastAsia" w:ascii="仿宋_GB2312" w:hAnsi="仿宋_GB2312" w:cs="仿宋_GB2312"/>
                <w:sz w:val="24"/>
                <w:szCs w:val="24"/>
              </w:rPr>
              <w:t>纳入重点监管名录，加强行政执法检查</w:t>
            </w:r>
            <w:r>
              <w:rPr>
                <w:rFonts w:hint="eastAsia" w:ascii="仿宋_GB2312" w:hAnsi="仿宋_GB2312" w:cs="仿宋_GB2312"/>
                <w:sz w:val="24"/>
                <w:szCs w:val="24"/>
                <w:lang w:eastAsia="zh-CN"/>
              </w:rPr>
              <w:t>。</w:t>
            </w:r>
          </w:p>
        </w:tc>
        <w:tc>
          <w:tcPr>
            <w:tcW w:w="693" w:type="dxa"/>
            <w:vAlign w:val="center"/>
          </w:tcPr>
          <w:p w14:paraId="3BB56A42">
            <w:pPr>
              <w:rPr>
                <w:rFonts w:ascii="仿宋_GB2312" w:hAnsi="仿宋_GB2312" w:cs="仿宋_GB2312"/>
                <w:sz w:val="24"/>
                <w:szCs w:val="24"/>
              </w:rPr>
            </w:pPr>
          </w:p>
        </w:tc>
      </w:tr>
      <w:tr w14:paraId="12EAC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vAlign w:val="center"/>
          </w:tcPr>
          <w:p w14:paraId="3C6F5BD7">
            <w:pPr>
              <w:jc w:val="center"/>
              <w:rPr>
                <w:rFonts w:ascii="仿宋_GB2312" w:hAnsi="仿宋_GB2312" w:cs="仿宋_GB2312"/>
                <w:sz w:val="24"/>
                <w:szCs w:val="24"/>
              </w:rPr>
            </w:pPr>
            <w:r>
              <w:rPr>
                <w:rFonts w:hint="eastAsia" w:ascii="仿宋_GB2312" w:hAnsi="仿宋_GB2312" w:cs="仿宋_GB2312"/>
                <w:sz w:val="24"/>
                <w:szCs w:val="24"/>
              </w:rPr>
              <w:t>2</w:t>
            </w:r>
          </w:p>
        </w:tc>
        <w:tc>
          <w:tcPr>
            <w:tcW w:w="1179" w:type="dxa"/>
            <w:vAlign w:val="center"/>
          </w:tcPr>
          <w:p w14:paraId="309BA537">
            <w:pPr>
              <w:spacing w:line="320" w:lineRule="exact"/>
              <w:rPr>
                <w:rFonts w:ascii="仿宋_GB2312" w:hAnsi="仿宋_GB2312" w:cs="仿宋_GB2312"/>
                <w:sz w:val="24"/>
                <w:szCs w:val="24"/>
              </w:rPr>
            </w:pPr>
            <w:r>
              <w:rPr>
                <w:rFonts w:hint="eastAsia" w:ascii="仿宋_GB2312" w:hAnsi="仿宋_GB2312" w:cs="仿宋_GB2312"/>
                <w:sz w:val="24"/>
                <w:szCs w:val="24"/>
              </w:rPr>
              <w:t>违法传播公众天气预报和预警信号的处罚</w:t>
            </w:r>
          </w:p>
        </w:tc>
        <w:tc>
          <w:tcPr>
            <w:tcW w:w="6424" w:type="dxa"/>
            <w:vAlign w:val="center"/>
          </w:tcPr>
          <w:p w14:paraId="338553EE">
            <w:pPr>
              <w:spacing w:line="300" w:lineRule="exact"/>
              <w:rPr>
                <w:rFonts w:ascii="仿宋_GB2312" w:hAnsi="仿宋_GB2312" w:cs="仿宋_GB2312"/>
                <w:sz w:val="24"/>
                <w:szCs w:val="24"/>
              </w:rPr>
            </w:pPr>
            <w:r>
              <w:rPr>
                <w:rFonts w:hint="eastAsia" w:ascii="仿宋_GB2312" w:hAnsi="仿宋_GB2312" w:cs="仿宋_GB2312"/>
                <w:b/>
                <w:bCs/>
                <w:sz w:val="24"/>
                <w:szCs w:val="24"/>
              </w:rPr>
              <w:t>1.《中华人民共和国气象法》第三十八条第二项</w:t>
            </w:r>
            <w:r>
              <w:rPr>
                <w:rFonts w:hint="eastAsia" w:ascii="仿宋_GB2312" w:hAnsi="仿宋_GB2312" w:cs="仿宋_GB2312"/>
                <w:sz w:val="24"/>
                <w:szCs w:val="24"/>
              </w:rPr>
              <w:t>：“违反本法规定，有下列行为之一的，由有关气象主管机构按照权限责令改正，给予警告，可以并处5万元以下的罚款：（二）广播、电视、报纸、电信等媒体向社会传播公众气象预报、灾害性天气警报，不使用气象主管机构所属的气象台站提供的适时气象信息的；”</w:t>
            </w:r>
          </w:p>
          <w:p w14:paraId="580107D5">
            <w:pPr>
              <w:spacing w:line="300" w:lineRule="exact"/>
              <w:rPr>
                <w:rFonts w:ascii="仿宋_GB2312" w:hAnsi="仿宋_GB2312" w:cs="仿宋_GB2312"/>
                <w:sz w:val="24"/>
                <w:szCs w:val="24"/>
              </w:rPr>
            </w:pPr>
            <w:r>
              <w:rPr>
                <w:rFonts w:hint="eastAsia" w:ascii="仿宋_GB2312" w:hAnsi="仿宋_GB2312" w:cs="仿宋_GB2312"/>
                <w:b/>
                <w:bCs/>
                <w:sz w:val="24"/>
                <w:szCs w:val="24"/>
              </w:rPr>
              <w:t>2.《气象灾害防御条例》（国务院令第570号）第四十六条第二项、第三项</w:t>
            </w:r>
            <w:r>
              <w:rPr>
                <w:rFonts w:hint="eastAsia" w:ascii="仿宋_GB2312" w:hAnsi="仿宋_GB2312" w:cs="仿宋_GB2312"/>
                <w:sz w:val="24"/>
                <w:szCs w:val="24"/>
              </w:rPr>
              <w:t>：“违反本条例规定，有下列行为之一的，由县级以上气象主管机构责令改正，给予警告，可以处5万元以下的罚款；构成违反治安管理行为的，由公安机关依法给予处罚：（二）广播、电视、报纸、电信等媒体未按照要求播发、刊登灾害性天气警报和气象灾害预警信号的；（三）传播虚假的或者通过非法渠道获取的灾害性天气信息和气象灾害灾情的。”</w:t>
            </w:r>
          </w:p>
        </w:tc>
        <w:tc>
          <w:tcPr>
            <w:tcW w:w="1355" w:type="dxa"/>
            <w:vAlign w:val="center"/>
          </w:tcPr>
          <w:p w14:paraId="37AC4D62">
            <w:pPr>
              <w:spacing w:line="300" w:lineRule="exact"/>
              <w:rPr>
                <w:rFonts w:ascii="仿宋_GB2312" w:hAnsi="仿宋_GB2312" w:cs="仿宋_GB2312"/>
                <w:sz w:val="24"/>
                <w:szCs w:val="24"/>
              </w:rPr>
            </w:pPr>
            <w:r>
              <w:rPr>
                <w:rFonts w:hint="eastAsia" w:ascii="仿宋_GB2312" w:hAnsi="仿宋_GB2312" w:cs="仿宋_GB2312"/>
                <w:sz w:val="24"/>
                <w:szCs w:val="24"/>
              </w:rPr>
              <w:t>首次被发现，能立即停止违法行为，未造成社会危害</w:t>
            </w:r>
          </w:p>
        </w:tc>
        <w:tc>
          <w:tcPr>
            <w:tcW w:w="1373" w:type="dxa"/>
            <w:vAlign w:val="center"/>
          </w:tcPr>
          <w:p w14:paraId="01F84CDF">
            <w:pPr>
              <w:spacing w:line="300" w:lineRule="exact"/>
              <w:rPr>
                <w:rFonts w:ascii="仿宋_GB2312" w:hAnsi="仿宋_GB2312" w:cs="仿宋_GB2312"/>
                <w:sz w:val="24"/>
                <w:szCs w:val="24"/>
              </w:rPr>
            </w:pPr>
            <w:r>
              <w:rPr>
                <w:rFonts w:hint="eastAsia" w:ascii="仿宋_GB2312" w:hAnsi="仿宋_GB2312" w:cs="仿宋_GB2312"/>
                <w:sz w:val="24"/>
                <w:szCs w:val="24"/>
              </w:rPr>
              <w:t>《中华人民共和国行政处罚法》第三十二条第一项：“当事人有下列情形之一，应当从轻或者减轻行政处罚：（一）主动消除或者减轻违法行为危害后果的；”</w:t>
            </w:r>
          </w:p>
        </w:tc>
        <w:tc>
          <w:tcPr>
            <w:tcW w:w="973" w:type="dxa"/>
            <w:vAlign w:val="center"/>
          </w:tcPr>
          <w:p w14:paraId="5DEB3B47">
            <w:pPr>
              <w:spacing w:line="320" w:lineRule="exact"/>
              <w:rPr>
                <w:rFonts w:ascii="仿宋_GB2312" w:hAnsi="仿宋_GB2312" w:cs="仿宋_GB2312"/>
                <w:sz w:val="24"/>
                <w:szCs w:val="24"/>
              </w:rPr>
            </w:pPr>
            <w:r>
              <w:rPr>
                <w:rFonts w:hint="eastAsia" w:ascii="仿宋_GB2312" w:hAnsi="仿宋_GB2312" w:cs="仿宋_GB2312"/>
                <w:sz w:val="24"/>
                <w:szCs w:val="24"/>
              </w:rPr>
              <w:t>警告，不予</w:t>
            </w:r>
          </w:p>
          <w:p w14:paraId="66199BEA">
            <w:pPr>
              <w:spacing w:line="320" w:lineRule="exact"/>
              <w:rPr>
                <w:rFonts w:ascii="仿宋_GB2312" w:hAnsi="仿宋_GB2312" w:cs="仿宋_GB2312"/>
                <w:sz w:val="24"/>
                <w:szCs w:val="24"/>
              </w:rPr>
            </w:pPr>
            <w:r>
              <w:rPr>
                <w:rFonts w:hint="eastAsia" w:ascii="仿宋_GB2312" w:hAnsi="仿宋_GB2312" w:cs="仿宋_GB2312"/>
                <w:sz w:val="24"/>
                <w:szCs w:val="24"/>
              </w:rPr>
              <w:t>罚款</w:t>
            </w:r>
          </w:p>
        </w:tc>
        <w:tc>
          <w:tcPr>
            <w:tcW w:w="1200" w:type="dxa"/>
            <w:vAlign w:val="center"/>
          </w:tcPr>
          <w:p w14:paraId="080E98C8">
            <w:pPr>
              <w:spacing w:line="320" w:lineRule="exact"/>
              <w:rPr>
                <w:rFonts w:hint="eastAsia" w:ascii="仿宋_GB2312" w:hAnsi="仿宋_GB2312" w:eastAsia="仿宋_GB2312" w:cs="仿宋_GB2312"/>
                <w:sz w:val="24"/>
                <w:szCs w:val="24"/>
                <w:lang w:eastAsia="zh-CN"/>
              </w:rPr>
            </w:pPr>
            <w:r>
              <w:rPr>
                <w:rFonts w:hint="eastAsia" w:ascii="仿宋_GB2312" w:hAnsi="仿宋_GB2312" w:cs="仿宋_GB2312"/>
                <w:sz w:val="24"/>
                <w:szCs w:val="24"/>
              </w:rPr>
              <w:t>纳入重点监管名录，加强行政执法检查</w:t>
            </w:r>
            <w:r>
              <w:rPr>
                <w:rFonts w:hint="eastAsia" w:ascii="仿宋_GB2312" w:hAnsi="仿宋_GB2312" w:cs="仿宋_GB2312"/>
                <w:sz w:val="24"/>
                <w:szCs w:val="24"/>
                <w:lang w:eastAsia="zh-CN"/>
              </w:rPr>
              <w:t>。</w:t>
            </w:r>
          </w:p>
        </w:tc>
        <w:tc>
          <w:tcPr>
            <w:tcW w:w="693" w:type="dxa"/>
            <w:vAlign w:val="center"/>
          </w:tcPr>
          <w:p w14:paraId="088E1BEF">
            <w:pPr>
              <w:rPr>
                <w:rFonts w:ascii="仿宋_GB2312" w:hAnsi="仿宋_GB2312" w:cs="仿宋_GB2312"/>
                <w:sz w:val="24"/>
                <w:szCs w:val="24"/>
              </w:rPr>
            </w:pPr>
          </w:p>
        </w:tc>
      </w:tr>
      <w:tr w14:paraId="022F3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vAlign w:val="center"/>
          </w:tcPr>
          <w:p w14:paraId="0FC2D33E">
            <w:pPr>
              <w:jc w:val="center"/>
              <w:rPr>
                <w:rFonts w:ascii="仿宋_GB2312" w:hAnsi="仿宋_GB2312" w:cs="仿宋_GB2312"/>
                <w:sz w:val="24"/>
                <w:szCs w:val="24"/>
              </w:rPr>
            </w:pPr>
            <w:r>
              <w:rPr>
                <w:rFonts w:hint="eastAsia" w:ascii="仿宋_GB2312" w:hAnsi="仿宋_GB2312" w:cs="仿宋_GB2312"/>
                <w:sz w:val="24"/>
                <w:szCs w:val="24"/>
              </w:rPr>
              <w:t>3</w:t>
            </w:r>
          </w:p>
        </w:tc>
        <w:tc>
          <w:tcPr>
            <w:tcW w:w="1179" w:type="dxa"/>
            <w:vAlign w:val="center"/>
          </w:tcPr>
          <w:p w14:paraId="7FB38998">
            <w:pPr>
              <w:spacing w:line="320" w:lineRule="exact"/>
              <w:rPr>
                <w:rFonts w:ascii="仿宋_GB2312" w:hAnsi="仿宋_GB2312" w:cs="仿宋_GB2312"/>
                <w:sz w:val="24"/>
                <w:szCs w:val="24"/>
              </w:rPr>
            </w:pPr>
            <w:r>
              <w:rPr>
                <w:rFonts w:hint="eastAsia" w:ascii="仿宋_GB2312" w:hAnsi="仿宋_GB2312" w:cs="仿宋_GB2312"/>
                <w:sz w:val="24"/>
                <w:szCs w:val="24"/>
              </w:rPr>
              <w:t>已有防雷装置，拒绝进行检测或者经检测不合格又拒不整改的处罚</w:t>
            </w:r>
          </w:p>
        </w:tc>
        <w:tc>
          <w:tcPr>
            <w:tcW w:w="6424" w:type="dxa"/>
            <w:vAlign w:val="center"/>
          </w:tcPr>
          <w:p w14:paraId="4584C74A">
            <w:pPr>
              <w:spacing w:line="300" w:lineRule="exact"/>
              <w:rPr>
                <w:rFonts w:ascii="仿宋_GB2312" w:hAnsi="仿宋_GB2312" w:cs="仿宋_GB2312"/>
                <w:sz w:val="24"/>
                <w:szCs w:val="24"/>
              </w:rPr>
            </w:pPr>
            <w:r>
              <w:rPr>
                <w:rFonts w:hint="eastAsia" w:ascii="仿宋_GB2312" w:hAnsi="仿宋_GB2312" w:cs="仿宋_GB2312"/>
                <w:b/>
                <w:bCs/>
                <w:sz w:val="24"/>
                <w:szCs w:val="24"/>
              </w:rPr>
              <w:t>1.《河南省气象条例》第三十三条第二项：</w:t>
            </w:r>
            <w:r>
              <w:rPr>
                <w:rFonts w:hint="eastAsia" w:ascii="仿宋_GB2312" w:hAnsi="仿宋_GB2312" w:cs="仿宋_GB2312"/>
                <w:sz w:val="24"/>
                <w:szCs w:val="24"/>
              </w:rPr>
              <w:t>违反本条例有下列行为之一的，由气象主管机构责令限期改正；拒不改正的，按照下列规定给予处罚；给他人造成损失的，依法承担赔偿责任；构成犯罪的，依法追究刑事责任：</w:t>
            </w:r>
          </w:p>
          <w:p w14:paraId="2FB2D582">
            <w:pPr>
              <w:spacing w:line="300" w:lineRule="exact"/>
              <w:rPr>
                <w:rFonts w:ascii="仿宋_GB2312" w:hAnsi="仿宋_GB2312" w:cs="仿宋_GB2312"/>
                <w:sz w:val="24"/>
                <w:szCs w:val="24"/>
              </w:rPr>
            </w:pPr>
            <w:r>
              <w:rPr>
                <w:rFonts w:hint="eastAsia" w:ascii="仿宋_GB2312" w:hAnsi="仿宋_GB2312" w:cs="仿宋_GB2312"/>
                <w:sz w:val="24"/>
                <w:szCs w:val="24"/>
              </w:rPr>
              <w:t>（二）拒不接受对防雷装置依法进行的定期检测的，给予警告，可以并处一千元罚款；</w:t>
            </w:r>
          </w:p>
          <w:p w14:paraId="00C22D86">
            <w:pPr>
              <w:spacing w:line="300" w:lineRule="exact"/>
              <w:rPr>
                <w:rFonts w:ascii="仿宋_GB2312" w:hAnsi="仿宋_GB2312" w:cs="仿宋_GB2312"/>
                <w:sz w:val="24"/>
                <w:szCs w:val="24"/>
              </w:rPr>
            </w:pPr>
            <w:r>
              <w:rPr>
                <w:rFonts w:hint="eastAsia" w:ascii="仿宋_GB2312" w:hAnsi="仿宋_GB2312" w:cs="仿宋_GB2312"/>
                <w:b/>
                <w:bCs/>
                <w:sz w:val="24"/>
                <w:szCs w:val="24"/>
              </w:rPr>
              <w:t>2.《防雷减灾管理办法（修订）》（中国气象局令第24号）第三十五条第三项：</w:t>
            </w:r>
            <w:r>
              <w:rPr>
                <w:rFonts w:hint="eastAsia" w:ascii="仿宋_GB2312" w:hAnsi="仿宋_GB2312" w:cs="仿宋_GB2312"/>
                <w:sz w:val="24"/>
                <w:szCs w:val="24"/>
              </w:rPr>
              <w:t>“违反本办法规定，有下列行为之一的，由县级以上气象主管机构按照权限责令改正，给予警告，可以处1万元以上3万元以下罚款；给他人造成损失的，依法承担赔偿责任；构成犯罪的，依法追究刑事责任：(三)已有防雷装置，拒绝进行检测或者经检测不合格又拒不整改的；”</w:t>
            </w:r>
          </w:p>
        </w:tc>
        <w:tc>
          <w:tcPr>
            <w:tcW w:w="1355" w:type="dxa"/>
            <w:vAlign w:val="center"/>
          </w:tcPr>
          <w:p w14:paraId="6F2D14B6">
            <w:pPr>
              <w:spacing w:line="300" w:lineRule="exact"/>
              <w:rPr>
                <w:rFonts w:ascii="仿宋_GB2312" w:hAnsi="仿宋_GB2312" w:cs="仿宋_GB2312"/>
                <w:sz w:val="24"/>
                <w:szCs w:val="24"/>
              </w:rPr>
            </w:pPr>
            <w:r>
              <w:rPr>
                <w:rFonts w:hint="eastAsia" w:ascii="仿宋_GB2312" w:hAnsi="仿宋_GB2312" w:cs="仿宋_GB2312"/>
                <w:sz w:val="24"/>
                <w:szCs w:val="24"/>
              </w:rPr>
              <w:t>首次被发现，完成防雷装置定期检测或对不合格防雷装置进行改正。</w:t>
            </w:r>
          </w:p>
        </w:tc>
        <w:tc>
          <w:tcPr>
            <w:tcW w:w="1373" w:type="dxa"/>
            <w:vAlign w:val="center"/>
          </w:tcPr>
          <w:p w14:paraId="5541AA7A">
            <w:pPr>
              <w:spacing w:line="300" w:lineRule="exact"/>
              <w:rPr>
                <w:rFonts w:ascii="仿宋_GB2312" w:hAnsi="仿宋_GB2312" w:cs="仿宋_GB2312"/>
                <w:sz w:val="24"/>
                <w:szCs w:val="24"/>
              </w:rPr>
            </w:pPr>
            <w:r>
              <w:rPr>
                <w:rFonts w:hint="eastAsia" w:ascii="仿宋_GB2312" w:hAnsi="仿宋_GB2312" w:cs="仿宋_GB2312"/>
                <w:sz w:val="24"/>
                <w:szCs w:val="24"/>
              </w:rPr>
              <w:t>《中华人民共和国行政处罚法》第三十二条第一项：“当事人有下列情形之一，应当从轻或者减轻行政处罚：（一）主动消除或者减轻违法行为危害后果的；”</w:t>
            </w:r>
          </w:p>
        </w:tc>
        <w:tc>
          <w:tcPr>
            <w:tcW w:w="973" w:type="dxa"/>
            <w:vAlign w:val="center"/>
          </w:tcPr>
          <w:p w14:paraId="22DCBD53">
            <w:pPr>
              <w:spacing w:line="320" w:lineRule="exact"/>
              <w:rPr>
                <w:rFonts w:ascii="仿宋_GB2312" w:hAnsi="仿宋_GB2312" w:cs="仿宋_GB2312"/>
                <w:sz w:val="24"/>
                <w:szCs w:val="24"/>
              </w:rPr>
            </w:pPr>
            <w:r>
              <w:rPr>
                <w:rFonts w:hint="eastAsia" w:ascii="仿宋_GB2312" w:hAnsi="仿宋_GB2312" w:cs="仿宋_GB2312"/>
                <w:sz w:val="24"/>
                <w:szCs w:val="24"/>
              </w:rPr>
              <w:t>警告，不予</w:t>
            </w:r>
          </w:p>
          <w:p w14:paraId="4B4E6AD8">
            <w:pPr>
              <w:spacing w:line="320" w:lineRule="exact"/>
              <w:rPr>
                <w:rFonts w:ascii="仿宋_GB2312" w:hAnsi="仿宋_GB2312" w:cs="仿宋_GB2312"/>
                <w:sz w:val="24"/>
                <w:szCs w:val="24"/>
              </w:rPr>
            </w:pPr>
            <w:r>
              <w:rPr>
                <w:rFonts w:hint="eastAsia" w:ascii="仿宋_GB2312" w:hAnsi="仿宋_GB2312" w:cs="仿宋_GB2312"/>
                <w:sz w:val="24"/>
                <w:szCs w:val="24"/>
              </w:rPr>
              <w:t>罚款</w:t>
            </w:r>
          </w:p>
        </w:tc>
        <w:tc>
          <w:tcPr>
            <w:tcW w:w="1200" w:type="dxa"/>
            <w:vAlign w:val="center"/>
          </w:tcPr>
          <w:p w14:paraId="5EF876AE">
            <w:pPr>
              <w:spacing w:line="320" w:lineRule="exact"/>
              <w:rPr>
                <w:rFonts w:hint="eastAsia" w:ascii="仿宋_GB2312" w:hAnsi="仿宋_GB2312" w:eastAsia="仿宋_GB2312" w:cs="仿宋_GB2312"/>
                <w:sz w:val="24"/>
                <w:szCs w:val="24"/>
                <w:lang w:eastAsia="zh-CN"/>
              </w:rPr>
            </w:pPr>
            <w:r>
              <w:rPr>
                <w:rFonts w:hint="eastAsia" w:ascii="仿宋_GB2312" w:hAnsi="仿宋_GB2312" w:cs="仿宋_GB2312"/>
                <w:sz w:val="24"/>
                <w:szCs w:val="24"/>
              </w:rPr>
              <w:t>纳入重点监管名录，加强行政执法检查</w:t>
            </w:r>
            <w:r>
              <w:rPr>
                <w:rFonts w:hint="eastAsia" w:ascii="仿宋_GB2312" w:hAnsi="仿宋_GB2312" w:cs="仿宋_GB2312"/>
                <w:sz w:val="24"/>
                <w:szCs w:val="24"/>
                <w:lang w:eastAsia="zh-CN"/>
              </w:rPr>
              <w:t>。</w:t>
            </w:r>
          </w:p>
        </w:tc>
        <w:tc>
          <w:tcPr>
            <w:tcW w:w="693" w:type="dxa"/>
            <w:vAlign w:val="center"/>
          </w:tcPr>
          <w:p w14:paraId="0BD6F0A0">
            <w:pPr>
              <w:spacing w:line="280" w:lineRule="exact"/>
              <w:rPr>
                <w:rFonts w:ascii="仿宋_GB2312" w:hAnsi="仿宋_GB2312" w:cs="仿宋_GB2312"/>
                <w:sz w:val="24"/>
                <w:szCs w:val="24"/>
              </w:rPr>
            </w:pPr>
          </w:p>
        </w:tc>
      </w:tr>
      <w:tr w14:paraId="7E4C8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vAlign w:val="center"/>
          </w:tcPr>
          <w:p w14:paraId="5B876EE7">
            <w:pPr>
              <w:jc w:val="center"/>
              <w:rPr>
                <w:rFonts w:ascii="仿宋_GB2312" w:hAnsi="仿宋_GB2312" w:cs="仿宋_GB2312"/>
                <w:sz w:val="24"/>
                <w:szCs w:val="24"/>
              </w:rPr>
            </w:pPr>
            <w:r>
              <w:rPr>
                <w:rFonts w:hint="eastAsia" w:ascii="仿宋_GB2312" w:hAnsi="仿宋_GB2312" w:cs="仿宋_GB2312"/>
                <w:sz w:val="24"/>
                <w:szCs w:val="24"/>
              </w:rPr>
              <w:t>4</w:t>
            </w:r>
          </w:p>
        </w:tc>
        <w:tc>
          <w:tcPr>
            <w:tcW w:w="1179" w:type="dxa"/>
            <w:vAlign w:val="center"/>
          </w:tcPr>
          <w:p w14:paraId="2A60854F">
            <w:pPr>
              <w:spacing w:line="320" w:lineRule="exact"/>
              <w:rPr>
                <w:rFonts w:ascii="仿宋_GB2312" w:hAnsi="仿宋_GB2312" w:cs="仿宋_GB2312"/>
                <w:sz w:val="24"/>
                <w:szCs w:val="24"/>
              </w:rPr>
            </w:pPr>
            <w:r>
              <w:rPr>
                <w:rFonts w:hint="eastAsia" w:ascii="仿宋_GB2312" w:hAnsi="仿宋_GB2312" w:cs="仿宋_GB2312"/>
                <w:sz w:val="24"/>
                <w:szCs w:val="24"/>
              </w:rPr>
              <w:t>从事防雷减灾活动的单位对监督检查机构隐瞒有关情况、提供虚假材料或者拒绝提供反映其活动情况的真实材料的处罚</w:t>
            </w:r>
          </w:p>
        </w:tc>
        <w:tc>
          <w:tcPr>
            <w:tcW w:w="6424" w:type="dxa"/>
            <w:vAlign w:val="center"/>
          </w:tcPr>
          <w:p w14:paraId="76C535D8">
            <w:pPr>
              <w:spacing w:line="320" w:lineRule="exact"/>
              <w:rPr>
                <w:rFonts w:ascii="仿宋_GB2312" w:hAnsi="仿宋_GB2312" w:cs="仿宋_GB2312"/>
                <w:sz w:val="24"/>
                <w:szCs w:val="24"/>
              </w:rPr>
            </w:pPr>
            <w:r>
              <w:rPr>
                <w:rFonts w:hint="eastAsia" w:ascii="仿宋_GB2312" w:hAnsi="仿宋_GB2312" w:cs="仿宋_GB2312"/>
                <w:b/>
                <w:bCs/>
                <w:sz w:val="24"/>
                <w:szCs w:val="24"/>
              </w:rPr>
              <w:t>1.《防雷减灾管理办法（修订）》（中国气象局令第24号）第三十三条第二项：</w:t>
            </w:r>
            <w:r>
              <w:rPr>
                <w:rFonts w:hint="eastAsia" w:ascii="仿宋_GB2312" w:hAnsi="仿宋_GB2312" w:cs="仿宋_GB2312"/>
                <w:sz w:val="24"/>
                <w:szCs w:val="24"/>
              </w:rPr>
              <w:t>“违反本办法规定，有下列行为之一的，由县级以上气象主管机构按照权限责令改正，给予警告，可以处5万元以上10万元以下罚款；给他人造成损失的，依法承担赔偿责任；构成犯罪的，依法追究刑事责任：（二）向负责监督检查的机构隐瞒有关情况、提供虚假材料或者拒绝提供反映其活动情况的真实材料的；”</w:t>
            </w:r>
          </w:p>
          <w:p w14:paraId="5FD31E01">
            <w:pPr>
              <w:spacing w:line="320" w:lineRule="exact"/>
              <w:rPr>
                <w:rFonts w:ascii="仿宋_GB2312" w:hAnsi="仿宋_GB2312" w:cs="仿宋_GB2312"/>
                <w:sz w:val="24"/>
                <w:szCs w:val="24"/>
              </w:rPr>
            </w:pPr>
            <w:r>
              <w:rPr>
                <w:rFonts w:hint="eastAsia" w:ascii="仿宋_GB2312" w:hAnsi="仿宋_GB2312" w:cs="仿宋_GB2312"/>
                <w:b/>
                <w:bCs/>
                <w:sz w:val="24"/>
                <w:szCs w:val="24"/>
              </w:rPr>
              <w:t>2.《防雷装置设计审核和和竣工验收规定》（中国气象局令第21号）第三十二条第二项：</w:t>
            </w:r>
            <w:r>
              <w:rPr>
                <w:rFonts w:hint="eastAsia" w:ascii="仿宋_GB2312" w:hAnsi="仿宋_GB2312" w:cs="仿宋_GB2312"/>
                <w:sz w:val="24"/>
                <w:szCs w:val="24"/>
              </w:rPr>
              <w:t>“违反本规定，有下列行为之一的，由县级以上气象主管机构按照权限责令改正，给予警告，可以处5万元以上10万元以下罚款；给他人造成损失的，依法承担赔偿责任；构成犯罪的，依法追究刑事责任：（二）向监督检查机构隐瞒有关情况、提供虚假材料或者拒绝提供反映其活动情况的真实材料的；”</w:t>
            </w:r>
          </w:p>
          <w:p w14:paraId="34FCC82A">
            <w:pPr>
              <w:spacing w:line="320" w:lineRule="exact"/>
              <w:rPr>
                <w:rFonts w:ascii="仿宋_GB2312" w:hAnsi="仿宋_GB2312" w:cs="仿宋_GB2312"/>
                <w:sz w:val="24"/>
                <w:szCs w:val="24"/>
              </w:rPr>
            </w:pPr>
            <w:r>
              <w:rPr>
                <w:rFonts w:hint="eastAsia" w:ascii="仿宋_GB2312" w:hAnsi="仿宋_GB2312" w:cs="仿宋_GB2312"/>
                <w:b/>
                <w:bCs/>
                <w:sz w:val="24"/>
                <w:szCs w:val="24"/>
              </w:rPr>
              <w:t>3.《雷电防护装置检测资质管理办法》（中国气象局令第31号）第三十五条第二项：</w:t>
            </w:r>
            <w:r>
              <w:rPr>
                <w:rFonts w:hint="eastAsia" w:ascii="仿宋_GB2312" w:hAnsi="仿宋_GB2312" w:cs="仿宋_GB2312"/>
                <w:sz w:val="24"/>
                <w:szCs w:val="24"/>
              </w:rPr>
              <w:t>“防雷装置检测单位违反本办法规定，有下列行为之一的，由县级以上气象主管机构按照权限责令限期改正，拒不改正的给予警告，《防雷装置检测资质证》到期后不予延续；处罚结果纳入全国防雷装置检测单位信用信息系统并向社会公示：（二）向监督检查机构隐瞒有关情况、提供虚假材料或者拒绝提供反映其活动情况的真实材料的；”</w:t>
            </w:r>
          </w:p>
        </w:tc>
        <w:tc>
          <w:tcPr>
            <w:tcW w:w="1355" w:type="dxa"/>
            <w:vAlign w:val="center"/>
          </w:tcPr>
          <w:p w14:paraId="6917622E">
            <w:pPr>
              <w:spacing w:line="320" w:lineRule="exact"/>
              <w:rPr>
                <w:rFonts w:ascii="仿宋_GB2312" w:hAnsi="仿宋_GB2312" w:cs="仿宋_GB2312"/>
                <w:sz w:val="24"/>
                <w:szCs w:val="24"/>
              </w:rPr>
            </w:pPr>
            <w:r>
              <w:rPr>
                <w:rFonts w:hint="eastAsia" w:ascii="仿宋_GB2312" w:hAnsi="仿宋_GB2312" w:cs="仿宋_GB2312"/>
                <w:sz w:val="24"/>
                <w:szCs w:val="24"/>
              </w:rPr>
              <w:t>首次被发现，在规定期限内反映真实情况，提交真实材料</w:t>
            </w:r>
          </w:p>
        </w:tc>
        <w:tc>
          <w:tcPr>
            <w:tcW w:w="1373" w:type="dxa"/>
            <w:vAlign w:val="center"/>
          </w:tcPr>
          <w:p w14:paraId="206B1567">
            <w:pPr>
              <w:spacing w:line="320" w:lineRule="exact"/>
              <w:rPr>
                <w:rFonts w:ascii="仿宋_GB2312" w:hAnsi="仿宋_GB2312" w:cs="仿宋_GB2312"/>
                <w:sz w:val="24"/>
                <w:szCs w:val="24"/>
              </w:rPr>
            </w:pPr>
            <w:r>
              <w:rPr>
                <w:rFonts w:hint="eastAsia" w:ascii="仿宋_GB2312" w:hAnsi="仿宋_GB2312" w:cs="仿宋_GB2312"/>
                <w:sz w:val="24"/>
                <w:szCs w:val="24"/>
              </w:rPr>
              <w:t>《中华人民共和国行政处罚法》第三十二条第一项：“当事人有下列情形之一，应当从轻或者减轻行政处罚：（一）主动消除或者减轻违法行为危害后果的；”</w:t>
            </w:r>
          </w:p>
        </w:tc>
        <w:tc>
          <w:tcPr>
            <w:tcW w:w="973" w:type="dxa"/>
            <w:vAlign w:val="center"/>
          </w:tcPr>
          <w:p w14:paraId="2F361346">
            <w:pPr>
              <w:spacing w:line="320" w:lineRule="exact"/>
              <w:rPr>
                <w:rFonts w:ascii="仿宋_GB2312" w:hAnsi="仿宋_GB2312" w:cs="仿宋_GB2312"/>
                <w:sz w:val="24"/>
                <w:szCs w:val="24"/>
              </w:rPr>
            </w:pPr>
            <w:r>
              <w:rPr>
                <w:rFonts w:hint="eastAsia" w:ascii="仿宋_GB2312" w:hAnsi="仿宋_GB2312" w:cs="仿宋_GB2312"/>
                <w:sz w:val="24"/>
                <w:szCs w:val="24"/>
              </w:rPr>
              <w:t>警告，不予</w:t>
            </w:r>
          </w:p>
          <w:p w14:paraId="765C3E4D">
            <w:pPr>
              <w:spacing w:line="320" w:lineRule="exact"/>
              <w:rPr>
                <w:rFonts w:ascii="仿宋_GB2312" w:hAnsi="仿宋_GB2312" w:cs="仿宋_GB2312"/>
                <w:sz w:val="24"/>
                <w:szCs w:val="24"/>
              </w:rPr>
            </w:pPr>
            <w:r>
              <w:rPr>
                <w:rFonts w:hint="eastAsia" w:ascii="仿宋_GB2312" w:hAnsi="仿宋_GB2312" w:cs="仿宋_GB2312"/>
                <w:sz w:val="24"/>
                <w:szCs w:val="24"/>
              </w:rPr>
              <w:t>罚款</w:t>
            </w:r>
          </w:p>
        </w:tc>
        <w:tc>
          <w:tcPr>
            <w:tcW w:w="1200" w:type="dxa"/>
            <w:vAlign w:val="center"/>
          </w:tcPr>
          <w:p w14:paraId="2D3F8B8A">
            <w:pPr>
              <w:spacing w:line="360" w:lineRule="exact"/>
              <w:rPr>
                <w:rFonts w:hint="eastAsia" w:ascii="仿宋_GB2312" w:hAnsi="仿宋_GB2312" w:eastAsia="仿宋_GB2312" w:cs="仿宋_GB2312"/>
                <w:sz w:val="24"/>
                <w:szCs w:val="24"/>
                <w:lang w:eastAsia="zh-CN"/>
              </w:rPr>
            </w:pPr>
            <w:r>
              <w:rPr>
                <w:rFonts w:hint="eastAsia" w:ascii="仿宋_GB2312" w:hAnsi="仿宋_GB2312" w:cs="仿宋_GB2312"/>
                <w:sz w:val="24"/>
                <w:szCs w:val="24"/>
              </w:rPr>
              <w:t>纳入重点监管名录，加强行政执法检查</w:t>
            </w:r>
            <w:r>
              <w:rPr>
                <w:rFonts w:hint="eastAsia" w:ascii="仿宋_GB2312" w:hAnsi="仿宋_GB2312" w:cs="仿宋_GB2312"/>
                <w:sz w:val="24"/>
                <w:szCs w:val="24"/>
                <w:lang w:eastAsia="zh-CN"/>
              </w:rPr>
              <w:t>。</w:t>
            </w:r>
          </w:p>
        </w:tc>
        <w:tc>
          <w:tcPr>
            <w:tcW w:w="693" w:type="dxa"/>
            <w:vAlign w:val="center"/>
          </w:tcPr>
          <w:p w14:paraId="0A1FE006">
            <w:pPr>
              <w:rPr>
                <w:rFonts w:ascii="仿宋_GB2312" w:hAnsi="仿宋_GB2312" w:cs="仿宋_GB2312"/>
                <w:sz w:val="24"/>
                <w:szCs w:val="24"/>
              </w:rPr>
            </w:pPr>
          </w:p>
        </w:tc>
      </w:tr>
    </w:tbl>
    <w:p w14:paraId="7DC81230">
      <w:pPr>
        <w:spacing w:line="260" w:lineRule="exact"/>
      </w:pPr>
    </w:p>
    <w:p w14:paraId="0C04EAA9">
      <w:pPr>
        <w:spacing w:line="260" w:lineRule="exact"/>
      </w:pPr>
    </w:p>
    <w:p w14:paraId="3995A83F">
      <w:pPr>
        <w:spacing w:line="260" w:lineRule="exact"/>
      </w:pPr>
    </w:p>
    <w:p w14:paraId="7212B7C8">
      <w:pPr>
        <w:spacing w:line="200" w:lineRule="exact"/>
      </w:pPr>
    </w:p>
    <w:p w14:paraId="1ECCBB9B">
      <w:pPr>
        <w:spacing w:line="200" w:lineRule="exact"/>
      </w:pPr>
    </w:p>
    <w:p w14:paraId="47EB6831">
      <w:pPr>
        <w:spacing w:line="160" w:lineRule="exact"/>
      </w:pPr>
    </w:p>
    <w:p w14:paraId="3D0DA24C">
      <w:pPr>
        <w:jc w:val="center"/>
        <w:rPr>
          <w:rFonts w:ascii="黑体" w:hAnsi="黑体" w:eastAsia="黑体" w:cs="黑体"/>
          <w:sz w:val="36"/>
          <w:szCs w:val="36"/>
        </w:rPr>
      </w:pPr>
    </w:p>
    <w:p w14:paraId="203E3BB1">
      <w:pPr>
        <w:jc w:val="center"/>
        <w:rPr>
          <w:rFonts w:ascii="黑体" w:hAnsi="黑体" w:eastAsia="黑体" w:cs="黑体"/>
          <w:sz w:val="36"/>
          <w:szCs w:val="36"/>
        </w:rPr>
      </w:pPr>
    </w:p>
    <w:p w14:paraId="73F4650A">
      <w:pPr>
        <w:jc w:val="center"/>
        <w:rPr>
          <w:rFonts w:ascii="黑体" w:hAnsi="黑体" w:eastAsia="黑体" w:cs="黑体"/>
          <w:sz w:val="36"/>
          <w:szCs w:val="36"/>
        </w:rPr>
      </w:pPr>
    </w:p>
    <w:p w14:paraId="62D63B4E">
      <w:pPr>
        <w:keepNext w:val="0"/>
        <w:keepLines w:val="0"/>
        <w:pageBreakBefore w:val="0"/>
        <w:widowControl w:val="0"/>
        <w:kinsoku/>
        <w:wordWrap/>
        <w:overflowPunct/>
        <w:topLinePunct w:val="0"/>
        <w:autoSpaceDE/>
        <w:autoSpaceDN/>
        <w:bidi w:val="0"/>
        <w:adjustRightInd/>
        <w:snapToGrid/>
        <w:jc w:val="center"/>
        <w:textAlignment w:val="auto"/>
        <w:rPr>
          <w:rFonts w:ascii="黑体" w:hAnsi="黑体" w:eastAsia="黑体" w:cs="黑体"/>
          <w:sz w:val="36"/>
          <w:szCs w:val="36"/>
        </w:rPr>
      </w:pPr>
      <w:r>
        <w:rPr>
          <w:rFonts w:hint="eastAsia" w:ascii="方正小标宋简体" w:hAnsi="方正小标宋简体" w:eastAsia="方正小标宋简体" w:cs="方正小标宋简体"/>
          <w:color w:val="000000"/>
          <w:kern w:val="0"/>
          <w:sz w:val="44"/>
          <w:szCs w:val="44"/>
          <w:lang w:val="en-US" w:eastAsia="zh-CN"/>
        </w:rPr>
        <w:t>濮阳</w:t>
      </w:r>
      <w:r>
        <w:rPr>
          <w:rFonts w:hint="eastAsia" w:ascii="方正小标宋简体" w:hAnsi="方正小标宋简体" w:eastAsia="方正小标宋简体" w:cs="方正小标宋简体"/>
          <w:color w:val="000000"/>
          <w:kern w:val="0"/>
          <w:sz w:val="44"/>
          <w:szCs w:val="44"/>
        </w:rPr>
        <w:t>市气象局行政执法“四张清单”</w:t>
      </w:r>
    </w:p>
    <w:p w14:paraId="403161D5">
      <w:pPr>
        <w:jc w:val="center"/>
        <w:rPr>
          <w:rFonts w:hint="eastAsia" w:ascii="黑体" w:hAnsi="黑体" w:eastAsia="方正小标宋简体" w:cs="黑体"/>
          <w:sz w:val="36"/>
          <w:szCs w:val="36"/>
          <w:lang w:eastAsia="zh-CN"/>
        </w:rPr>
      </w:pPr>
      <w:r>
        <w:rPr>
          <w:rFonts w:hint="eastAsia" w:ascii="方正小标宋简体" w:hAnsi="方正小标宋简体" w:eastAsia="方正小标宋简体" w:cs="方正小标宋简体"/>
          <w:sz w:val="44"/>
          <w:szCs w:val="44"/>
          <w:lang w:eastAsia="zh-CN"/>
        </w:rPr>
        <w:t>（</w:t>
      </w:r>
      <w:r>
        <w:rPr>
          <w:rFonts w:hint="eastAsia" w:ascii="楷体_GB2312" w:hAnsi="楷体_GB2312" w:eastAsia="楷体_GB2312" w:cs="楷体_GB2312"/>
          <w:b/>
          <w:bCs/>
          <w:sz w:val="32"/>
          <w:szCs w:val="32"/>
        </w:rPr>
        <w:t>减轻处罚事项清单</w:t>
      </w:r>
      <w:r>
        <w:rPr>
          <w:rFonts w:hint="eastAsia" w:ascii="方正小标宋简体" w:hAnsi="方正小标宋简体" w:eastAsia="方正小标宋简体" w:cs="方正小标宋简体"/>
          <w:sz w:val="44"/>
          <w:szCs w:val="44"/>
          <w:lang w:eastAsia="zh-CN"/>
        </w:rPr>
        <w:t>）</w:t>
      </w:r>
    </w:p>
    <w:p w14:paraId="69CAA01A"/>
    <w:tbl>
      <w:tblPr>
        <w:tblStyle w:val="6"/>
        <w:tblW w:w="14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065"/>
        <w:gridCol w:w="6527"/>
        <w:gridCol w:w="1192"/>
        <w:gridCol w:w="1748"/>
        <w:gridCol w:w="916"/>
        <w:gridCol w:w="1066"/>
        <w:gridCol w:w="712"/>
      </w:tblGrid>
      <w:tr w14:paraId="2B9F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Align w:val="center"/>
          </w:tcPr>
          <w:p w14:paraId="44A9BB2B">
            <w:pPr>
              <w:spacing w:line="360" w:lineRule="exact"/>
              <w:jc w:val="center"/>
              <w:rPr>
                <w:rFonts w:ascii="黑体" w:hAnsi="黑体" w:eastAsia="黑体" w:cs="黑体"/>
                <w:sz w:val="28"/>
                <w:szCs w:val="28"/>
              </w:rPr>
            </w:pPr>
            <w:r>
              <w:rPr>
                <w:rFonts w:hint="eastAsia" w:ascii="黑体" w:hAnsi="黑体" w:eastAsia="黑体" w:cs="黑体"/>
                <w:sz w:val="28"/>
                <w:szCs w:val="28"/>
              </w:rPr>
              <w:t>序号</w:t>
            </w:r>
          </w:p>
        </w:tc>
        <w:tc>
          <w:tcPr>
            <w:tcW w:w="1065" w:type="dxa"/>
            <w:vAlign w:val="center"/>
          </w:tcPr>
          <w:p w14:paraId="4B1F7229">
            <w:pPr>
              <w:spacing w:line="280" w:lineRule="exact"/>
              <w:jc w:val="center"/>
              <w:rPr>
                <w:rFonts w:ascii="黑体" w:hAnsi="黑体" w:eastAsia="黑体" w:cs="黑体"/>
                <w:sz w:val="28"/>
                <w:szCs w:val="28"/>
              </w:rPr>
            </w:pPr>
            <w:r>
              <w:rPr>
                <w:rFonts w:hint="eastAsia" w:ascii="黑体" w:hAnsi="黑体" w:eastAsia="黑体" w:cs="黑体"/>
                <w:sz w:val="28"/>
                <w:szCs w:val="28"/>
              </w:rPr>
              <w:t>事项</w:t>
            </w:r>
          </w:p>
          <w:p w14:paraId="2944D0E9">
            <w:pPr>
              <w:spacing w:line="280" w:lineRule="exact"/>
              <w:jc w:val="center"/>
              <w:rPr>
                <w:rFonts w:ascii="黑体" w:hAnsi="黑体" w:eastAsia="黑体" w:cs="黑体"/>
                <w:sz w:val="28"/>
                <w:szCs w:val="28"/>
              </w:rPr>
            </w:pPr>
            <w:r>
              <w:rPr>
                <w:rFonts w:hint="eastAsia" w:ascii="黑体" w:hAnsi="黑体" w:eastAsia="黑体" w:cs="黑体"/>
                <w:sz w:val="28"/>
                <w:szCs w:val="28"/>
              </w:rPr>
              <w:t>名称</w:t>
            </w:r>
          </w:p>
        </w:tc>
        <w:tc>
          <w:tcPr>
            <w:tcW w:w="6527" w:type="dxa"/>
            <w:vAlign w:val="center"/>
          </w:tcPr>
          <w:p w14:paraId="7606EEDF">
            <w:pPr>
              <w:spacing w:line="280" w:lineRule="exact"/>
              <w:jc w:val="center"/>
              <w:rPr>
                <w:rFonts w:ascii="黑体" w:hAnsi="黑体" w:eastAsia="黑体" w:cs="黑体"/>
                <w:sz w:val="28"/>
                <w:szCs w:val="28"/>
              </w:rPr>
            </w:pPr>
            <w:r>
              <w:rPr>
                <w:rFonts w:hint="eastAsia" w:ascii="黑体" w:hAnsi="黑体" w:eastAsia="黑体" w:cs="黑体"/>
                <w:sz w:val="28"/>
                <w:szCs w:val="28"/>
              </w:rPr>
              <w:t>设定依据</w:t>
            </w:r>
          </w:p>
        </w:tc>
        <w:tc>
          <w:tcPr>
            <w:tcW w:w="1192" w:type="dxa"/>
            <w:vAlign w:val="center"/>
          </w:tcPr>
          <w:p w14:paraId="18D7FEFD">
            <w:pPr>
              <w:spacing w:line="280" w:lineRule="exact"/>
              <w:jc w:val="center"/>
              <w:rPr>
                <w:rFonts w:ascii="黑体" w:hAnsi="黑体" w:eastAsia="黑体" w:cs="黑体"/>
                <w:sz w:val="28"/>
                <w:szCs w:val="28"/>
              </w:rPr>
            </w:pPr>
            <w:r>
              <w:rPr>
                <w:rFonts w:hint="eastAsia" w:ascii="黑体" w:hAnsi="黑体" w:eastAsia="黑体" w:cs="黑体"/>
                <w:sz w:val="28"/>
                <w:szCs w:val="28"/>
              </w:rPr>
              <w:t>适用</w:t>
            </w:r>
          </w:p>
          <w:p w14:paraId="68A8BE91">
            <w:pPr>
              <w:spacing w:line="280" w:lineRule="exact"/>
              <w:jc w:val="center"/>
              <w:rPr>
                <w:rFonts w:ascii="黑体" w:hAnsi="黑体" w:eastAsia="黑体" w:cs="黑体"/>
                <w:sz w:val="28"/>
                <w:szCs w:val="28"/>
              </w:rPr>
            </w:pPr>
            <w:r>
              <w:rPr>
                <w:rFonts w:hint="eastAsia" w:ascii="黑体" w:hAnsi="黑体" w:eastAsia="黑体" w:cs="黑体"/>
                <w:sz w:val="28"/>
                <w:szCs w:val="28"/>
              </w:rPr>
              <w:t>情形</w:t>
            </w:r>
          </w:p>
        </w:tc>
        <w:tc>
          <w:tcPr>
            <w:tcW w:w="1748" w:type="dxa"/>
            <w:vAlign w:val="center"/>
          </w:tcPr>
          <w:p w14:paraId="49881299">
            <w:pPr>
              <w:spacing w:line="320" w:lineRule="exact"/>
              <w:jc w:val="center"/>
              <w:rPr>
                <w:rFonts w:ascii="黑体" w:hAnsi="黑体" w:eastAsia="黑体" w:cs="黑体"/>
                <w:sz w:val="28"/>
                <w:szCs w:val="28"/>
              </w:rPr>
            </w:pPr>
            <w:r>
              <w:rPr>
                <w:rFonts w:hint="eastAsia" w:ascii="黑体" w:hAnsi="黑体" w:eastAsia="黑体" w:cs="黑体"/>
                <w:sz w:val="28"/>
                <w:szCs w:val="28"/>
              </w:rPr>
              <w:t>从轻处罚</w:t>
            </w:r>
          </w:p>
          <w:p w14:paraId="3F53A07D">
            <w:pPr>
              <w:spacing w:line="320" w:lineRule="exact"/>
              <w:jc w:val="center"/>
              <w:rPr>
                <w:rFonts w:ascii="黑体" w:hAnsi="黑体" w:eastAsia="黑体" w:cs="黑体"/>
                <w:sz w:val="28"/>
                <w:szCs w:val="28"/>
              </w:rPr>
            </w:pPr>
            <w:r>
              <w:rPr>
                <w:rFonts w:hint="eastAsia" w:ascii="黑体" w:hAnsi="黑体" w:eastAsia="黑体" w:cs="黑体"/>
                <w:sz w:val="28"/>
                <w:szCs w:val="28"/>
              </w:rPr>
              <w:t>依据</w:t>
            </w:r>
          </w:p>
        </w:tc>
        <w:tc>
          <w:tcPr>
            <w:tcW w:w="916" w:type="dxa"/>
            <w:vAlign w:val="center"/>
          </w:tcPr>
          <w:p w14:paraId="72D98169">
            <w:pPr>
              <w:spacing w:line="360" w:lineRule="exact"/>
              <w:jc w:val="center"/>
              <w:rPr>
                <w:rFonts w:ascii="黑体" w:hAnsi="黑体" w:eastAsia="黑体" w:cs="黑体"/>
                <w:sz w:val="28"/>
                <w:szCs w:val="28"/>
              </w:rPr>
            </w:pPr>
            <w:r>
              <w:rPr>
                <w:rFonts w:hint="eastAsia" w:ascii="黑体" w:hAnsi="黑体" w:eastAsia="黑体" w:cs="黑体"/>
                <w:sz w:val="28"/>
                <w:szCs w:val="28"/>
              </w:rPr>
              <w:t>裁量</w:t>
            </w:r>
          </w:p>
          <w:p w14:paraId="5BC962DC">
            <w:pPr>
              <w:spacing w:line="360" w:lineRule="exact"/>
              <w:jc w:val="center"/>
              <w:rPr>
                <w:rFonts w:ascii="黑体" w:hAnsi="黑体" w:eastAsia="黑体" w:cs="黑体"/>
                <w:sz w:val="28"/>
                <w:szCs w:val="28"/>
              </w:rPr>
            </w:pPr>
            <w:r>
              <w:rPr>
                <w:rFonts w:hint="eastAsia" w:ascii="黑体" w:hAnsi="黑体" w:eastAsia="黑体" w:cs="黑体"/>
                <w:sz w:val="28"/>
                <w:szCs w:val="28"/>
              </w:rPr>
              <w:t>幅度</w:t>
            </w:r>
          </w:p>
        </w:tc>
        <w:tc>
          <w:tcPr>
            <w:tcW w:w="1066" w:type="dxa"/>
            <w:vAlign w:val="center"/>
          </w:tcPr>
          <w:p w14:paraId="62089E1A">
            <w:pPr>
              <w:spacing w:line="360" w:lineRule="exact"/>
              <w:jc w:val="center"/>
              <w:rPr>
                <w:rFonts w:ascii="黑体" w:hAnsi="黑体" w:eastAsia="黑体" w:cs="黑体"/>
                <w:sz w:val="28"/>
                <w:szCs w:val="28"/>
              </w:rPr>
            </w:pPr>
            <w:r>
              <w:rPr>
                <w:rFonts w:hint="eastAsia" w:ascii="黑体" w:hAnsi="黑体" w:eastAsia="黑体" w:cs="黑体"/>
                <w:sz w:val="28"/>
                <w:szCs w:val="28"/>
              </w:rPr>
              <w:t>配套监管措施</w:t>
            </w:r>
          </w:p>
        </w:tc>
        <w:tc>
          <w:tcPr>
            <w:tcW w:w="712" w:type="dxa"/>
            <w:vAlign w:val="center"/>
          </w:tcPr>
          <w:p w14:paraId="41FFAEDF">
            <w:pPr>
              <w:spacing w:line="360" w:lineRule="exact"/>
              <w:jc w:val="center"/>
              <w:rPr>
                <w:rFonts w:ascii="黑体" w:hAnsi="黑体" w:eastAsia="黑体" w:cs="黑体"/>
                <w:sz w:val="28"/>
                <w:szCs w:val="28"/>
              </w:rPr>
            </w:pPr>
            <w:r>
              <w:rPr>
                <w:rFonts w:hint="eastAsia" w:ascii="黑体" w:hAnsi="黑体" w:eastAsia="黑体" w:cs="黑体"/>
                <w:sz w:val="28"/>
                <w:szCs w:val="28"/>
              </w:rPr>
              <w:t>备注</w:t>
            </w:r>
          </w:p>
        </w:tc>
      </w:tr>
      <w:tr w14:paraId="3691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Align w:val="center"/>
          </w:tcPr>
          <w:p w14:paraId="38DF7A38">
            <w:pPr>
              <w:spacing w:line="320" w:lineRule="exact"/>
              <w:jc w:val="center"/>
              <w:rPr>
                <w:rFonts w:ascii="仿宋_GB2312" w:hAnsi="仿宋_GB2312" w:cs="仿宋_GB2312"/>
                <w:sz w:val="24"/>
                <w:szCs w:val="24"/>
              </w:rPr>
            </w:pPr>
            <w:r>
              <w:rPr>
                <w:rFonts w:hint="eastAsia" w:ascii="仿宋_GB2312" w:hAnsi="仿宋_GB2312" w:cs="仿宋_GB2312"/>
                <w:sz w:val="24"/>
                <w:szCs w:val="24"/>
              </w:rPr>
              <w:t>1</w:t>
            </w:r>
          </w:p>
        </w:tc>
        <w:tc>
          <w:tcPr>
            <w:tcW w:w="1065" w:type="dxa"/>
            <w:vAlign w:val="center"/>
          </w:tcPr>
          <w:p w14:paraId="6475D8E7">
            <w:pPr>
              <w:spacing w:line="320" w:lineRule="exact"/>
              <w:rPr>
                <w:rFonts w:ascii="仿宋_GB2312" w:hAnsi="仿宋_GB2312" w:cs="仿宋_GB2312"/>
                <w:sz w:val="24"/>
                <w:szCs w:val="24"/>
              </w:rPr>
            </w:pPr>
            <w:r>
              <w:rPr>
                <w:rFonts w:hint="eastAsia" w:ascii="仿宋_GB2312" w:hAnsi="仿宋_GB2312" w:cs="仿宋_GB2312"/>
                <w:sz w:val="24"/>
                <w:szCs w:val="24"/>
              </w:rPr>
              <w:t>无资质或者超越资质许可范围从事雷电防护装置检测的处罚</w:t>
            </w:r>
          </w:p>
        </w:tc>
        <w:tc>
          <w:tcPr>
            <w:tcW w:w="6527" w:type="dxa"/>
            <w:vAlign w:val="center"/>
          </w:tcPr>
          <w:p w14:paraId="5356967F">
            <w:pPr>
              <w:spacing w:line="320" w:lineRule="exact"/>
              <w:rPr>
                <w:rFonts w:ascii="仿宋_GB2312" w:hAnsi="仿宋_GB2312" w:cs="仿宋_GB2312"/>
                <w:sz w:val="24"/>
                <w:szCs w:val="24"/>
              </w:rPr>
            </w:pPr>
            <w:r>
              <w:rPr>
                <w:rFonts w:hint="eastAsia" w:ascii="仿宋_GB2312" w:hAnsi="仿宋_GB2312" w:cs="仿宋_GB2312"/>
                <w:b/>
                <w:bCs/>
                <w:sz w:val="24"/>
                <w:szCs w:val="24"/>
              </w:rPr>
              <w:t>《气象灾害防御条例》第四十五条第一项</w:t>
            </w:r>
            <w:r>
              <w:rPr>
                <w:rFonts w:hint="eastAsia" w:ascii="仿宋_GB2312" w:hAnsi="仿宋_GB2312" w:cs="仿宋_GB2312"/>
                <w:sz w:val="24"/>
                <w:szCs w:val="24"/>
              </w:rPr>
              <w:t>：“违反本条例规定，有下列行为之一的，由县级以上气象主管机构或者其他有关部门按照权限责令停止违法行为，处5万元以上10万元以下的罚款；有违法所得的，没收违法所得；给他人造成损失的，依法承担赔偿责任：</w:t>
            </w:r>
          </w:p>
          <w:p w14:paraId="51662885">
            <w:pPr>
              <w:spacing w:line="320" w:lineRule="exact"/>
              <w:rPr>
                <w:rFonts w:ascii="仿宋_GB2312" w:hAnsi="仿宋_GB2312" w:cs="仿宋_GB2312"/>
                <w:sz w:val="24"/>
                <w:szCs w:val="24"/>
              </w:rPr>
            </w:pPr>
            <w:r>
              <w:rPr>
                <w:rFonts w:hint="eastAsia" w:ascii="仿宋_GB2312" w:hAnsi="仿宋_GB2312" w:cs="仿宋_GB2312"/>
                <w:sz w:val="24"/>
                <w:szCs w:val="24"/>
              </w:rPr>
              <w:t>（一）无资质或者超越资质许可范围从事雷电防护装置检测的；”</w:t>
            </w:r>
          </w:p>
        </w:tc>
        <w:tc>
          <w:tcPr>
            <w:tcW w:w="1192" w:type="dxa"/>
            <w:vAlign w:val="center"/>
          </w:tcPr>
          <w:p w14:paraId="6BD73EA6">
            <w:pPr>
              <w:spacing w:line="320" w:lineRule="exact"/>
              <w:rPr>
                <w:rFonts w:ascii="仿宋_GB2312" w:hAnsi="仿宋_GB2312" w:cs="仿宋_GB2312"/>
                <w:sz w:val="24"/>
                <w:szCs w:val="24"/>
              </w:rPr>
            </w:pPr>
            <w:r>
              <w:rPr>
                <w:rFonts w:hint="eastAsia" w:ascii="仿宋_GB2312" w:hAnsi="仿宋_GB2312" w:cs="仿宋_GB2312"/>
                <w:sz w:val="24"/>
                <w:szCs w:val="24"/>
              </w:rPr>
              <w:t>首次被发现，未对他人造成损失，未对防雷装置所在建筑物或设施的安全造成损害</w:t>
            </w:r>
          </w:p>
        </w:tc>
        <w:tc>
          <w:tcPr>
            <w:tcW w:w="1748" w:type="dxa"/>
            <w:vAlign w:val="center"/>
          </w:tcPr>
          <w:p w14:paraId="64BBE4D9">
            <w:pPr>
              <w:spacing w:line="320" w:lineRule="exact"/>
              <w:rPr>
                <w:rFonts w:ascii="仿宋_GB2312" w:hAnsi="仿宋_GB2312" w:cs="仿宋_GB2312"/>
                <w:sz w:val="24"/>
                <w:szCs w:val="24"/>
              </w:rPr>
            </w:pPr>
            <w:r>
              <w:rPr>
                <w:rFonts w:hint="eastAsia" w:ascii="仿宋_GB2312" w:hAnsi="仿宋_GB2312" w:cs="仿宋_GB2312"/>
                <w:sz w:val="24"/>
                <w:szCs w:val="24"/>
              </w:rPr>
              <w:t>《中华人民共和国行政处罚法》第三十二条第一项：“当事人有下列情形之一，应当从轻或者减轻行政处罚：（一）主动消除或者减轻违法行为危害后果的；”</w:t>
            </w:r>
          </w:p>
        </w:tc>
        <w:tc>
          <w:tcPr>
            <w:tcW w:w="916" w:type="dxa"/>
            <w:vAlign w:val="center"/>
          </w:tcPr>
          <w:p w14:paraId="69E250C4">
            <w:pPr>
              <w:spacing w:line="320" w:lineRule="exact"/>
              <w:rPr>
                <w:rFonts w:ascii="仿宋_GB2312" w:hAnsi="仿宋_GB2312" w:cs="仿宋_GB2312"/>
                <w:sz w:val="24"/>
                <w:szCs w:val="24"/>
              </w:rPr>
            </w:pPr>
            <w:r>
              <w:rPr>
                <w:rFonts w:hint="eastAsia" w:ascii="仿宋_GB2312" w:hAnsi="仿宋_GB2312" w:cs="仿宋_GB2312"/>
                <w:sz w:val="24"/>
                <w:szCs w:val="24"/>
              </w:rPr>
              <w:t>处5万元以下罚款</w:t>
            </w:r>
          </w:p>
        </w:tc>
        <w:tc>
          <w:tcPr>
            <w:tcW w:w="1066" w:type="dxa"/>
            <w:vAlign w:val="center"/>
          </w:tcPr>
          <w:p w14:paraId="2722B8AC">
            <w:pPr>
              <w:spacing w:line="320" w:lineRule="exact"/>
              <w:rPr>
                <w:rFonts w:hint="eastAsia" w:ascii="仿宋_GB2312" w:hAnsi="仿宋_GB2312" w:eastAsia="仿宋_GB2312" w:cs="仿宋_GB2312"/>
                <w:sz w:val="24"/>
                <w:szCs w:val="24"/>
                <w:lang w:eastAsia="zh-CN"/>
              </w:rPr>
            </w:pPr>
            <w:r>
              <w:rPr>
                <w:rFonts w:hint="eastAsia" w:ascii="仿宋_GB2312" w:hAnsi="仿宋_GB2312" w:cs="仿宋_GB2312"/>
                <w:sz w:val="24"/>
                <w:szCs w:val="24"/>
              </w:rPr>
              <w:t>纳入重点监管名录，加强行政执法检查</w:t>
            </w:r>
            <w:r>
              <w:rPr>
                <w:rFonts w:hint="eastAsia" w:ascii="仿宋_GB2312" w:hAnsi="仿宋_GB2312" w:cs="仿宋_GB2312"/>
                <w:sz w:val="24"/>
                <w:szCs w:val="24"/>
                <w:lang w:eastAsia="zh-CN"/>
              </w:rPr>
              <w:t>。</w:t>
            </w:r>
          </w:p>
        </w:tc>
        <w:tc>
          <w:tcPr>
            <w:tcW w:w="712" w:type="dxa"/>
            <w:vAlign w:val="center"/>
          </w:tcPr>
          <w:p w14:paraId="69B2FCCC">
            <w:pPr>
              <w:spacing w:line="320" w:lineRule="exact"/>
              <w:jc w:val="center"/>
              <w:rPr>
                <w:rFonts w:ascii="仿宋_GB2312" w:hAnsi="仿宋_GB2312" w:cs="仿宋_GB2312"/>
                <w:sz w:val="24"/>
                <w:szCs w:val="24"/>
              </w:rPr>
            </w:pPr>
          </w:p>
        </w:tc>
      </w:tr>
      <w:tr w14:paraId="1880A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Align w:val="center"/>
          </w:tcPr>
          <w:p w14:paraId="3D029D82">
            <w:pPr>
              <w:spacing w:line="320" w:lineRule="exact"/>
              <w:jc w:val="center"/>
              <w:rPr>
                <w:rFonts w:ascii="仿宋_GB2312" w:hAnsi="仿宋_GB2312" w:cs="仿宋_GB2312"/>
                <w:sz w:val="24"/>
                <w:szCs w:val="24"/>
              </w:rPr>
            </w:pPr>
            <w:r>
              <w:rPr>
                <w:rFonts w:hint="eastAsia" w:ascii="仿宋_GB2312" w:hAnsi="仿宋_GB2312" w:cs="仿宋_GB2312"/>
                <w:sz w:val="24"/>
                <w:szCs w:val="24"/>
              </w:rPr>
              <w:t>2</w:t>
            </w:r>
          </w:p>
        </w:tc>
        <w:tc>
          <w:tcPr>
            <w:tcW w:w="1065" w:type="dxa"/>
            <w:vAlign w:val="center"/>
          </w:tcPr>
          <w:p w14:paraId="79B69A09">
            <w:pPr>
              <w:spacing w:line="320" w:lineRule="exact"/>
              <w:rPr>
                <w:rFonts w:ascii="仿宋_GB2312" w:hAnsi="仿宋_GB2312" w:cs="仿宋_GB2312"/>
                <w:sz w:val="24"/>
                <w:szCs w:val="24"/>
              </w:rPr>
            </w:pPr>
            <w:r>
              <w:rPr>
                <w:rFonts w:hint="eastAsia" w:ascii="仿宋_GB2312" w:hAnsi="仿宋_GB2312" w:cs="仿宋_GB2312"/>
                <w:sz w:val="24"/>
                <w:szCs w:val="24"/>
              </w:rPr>
              <w:t>违反气象资料共享管理的处罚</w:t>
            </w:r>
          </w:p>
        </w:tc>
        <w:tc>
          <w:tcPr>
            <w:tcW w:w="6527" w:type="dxa"/>
            <w:vAlign w:val="center"/>
          </w:tcPr>
          <w:p w14:paraId="7F9ED3A7">
            <w:pPr>
              <w:spacing w:line="300" w:lineRule="exact"/>
              <w:rPr>
                <w:rFonts w:ascii="仿宋_GB2312" w:hAnsi="仿宋_GB2312" w:cs="仿宋_GB2312"/>
                <w:sz w:val="24"/>
                <w:szCs w:val="24"/>
              </w:rPr>
            </w:pPr>
            <w:r>
              <w:rPr>
                <w:rFonts w:hint="eastAsia" w:ascii="仿宋_GB2312" w:hAnsi="仿宋_GB2312" w:cs="仿宋_GB2312"/>
                <w:b/>
                <w:bCs/>
                <w:sz w:val="24"/>
                <w:szCs w:val="24"/>
              </w:rPr>
              <w:t>1.《气象资料共享管理办法》（中国气象局令第4号）第十六条</w:t>
            </w:r>
            <w:r>
              <w:rPr>
                <w:rFonts w:hint="eastAsia" w:ascii="仿宋_GB2312" w:hAnsi="仿宋_GB2312" w:cs="仿宋_GB2312"/>
                <w:sz w:val="24"/>
                <w:szCs w:val="24"/>
              </w:rPr>
              <w:t>：“违反本办法规定，有下列行为之一的，由有关气象主管机构责令其改正，给予警告，并处以一万元以下罚款；情节严重的，停止向其提供气象资料。（一）将所获得的气象资料或者这些气象资料的使用权，向国内外其他单位和个人无偿转让的；（二）将所获得气象资料直接向外分发或用作供外部使用的数据库、产品和服务的一部分，或者间接用作生成它们的基础的；（三）将存放所获得气象资料的局域网与广域网、互联网相连接的；（四）将所获得气象资料进行单位换算、介质转换或者量度变换后形成的新资料，或者对所获得气象资料进行实质性加工后形成的新资料向外分发的；（五）不按要求使用从国内外交换来的气象资料的。”</w:t>
            </w:r>
          </w:p>
          <w:p w14:paraId="1A278FAE">
            <w:pPr>
              <w:spacing w:line="320" w:lineRule="exact"/>
              <w:rPr>
                <w:rFonts w:ascii="仿宋_GB2312" w:hAnsi="仿宋_GB2312" w:cs="仿宋_GB2312"/>
                <w:sz w:val="24"/>
                <w:szCs w:val="24"/>
              </w:rPr>
            </w:pPr>
            <w:r>
              <w:rPr>
                <w:rFonts w:hint="eastAsia" w:ascii="仿宋_GB2312" w:hAnsi="仿宋_GB2312" w:cs="仿宋_GB2312"/>
                <w:b/>
                <w:bCs/>
                <w:sz w:val="24"/>
                <w:szCs w:val="24"/>
              </w:rPr>
              <w:t>2.《气象资料共享管理办法》（中国气象局令第4号）第十七条</w:t>
            </w:r>
            <w:r>
              <w:rPr>
                <w:rFonts w:hint="eastAsia" w:ascii="仿宋_GB2312" w:hAnsi="仿宋_GB2312" w:cs="仿宋_GB2312"/>
                <w:sz w:val="24"/>
                <w:szCs w:val="24"/>
              </w:rPr>
              <w:t>：“违反本办法规定，将所获得的气象资料或者这些气象资料的使用权，向国内外其他单位和个人有偿转让的，由有关气象主管机构责令其改正，给予警告，并处以3万元以下的罚款；情节严重的，停止向其提供气象资料。”</w:t>
            </w:r>
          </w:p>
          <w:p w14:paraId="54F2E724">
            <w:pPr>
              <w:spacing w:line="320" w:lineRule="exact"/>
              <w:rPr>
                <w:rFonts w:ascii="仿宋_GB2312" w:hAnsi="仿宋_GB2312" w:cs="仿宋_GB2312"/>
                <w:sz w:val="24"/>
                <w:szCs w:val="24"/>
              </w:rPr>
            </w:pPr>
            <w:r>
              <w:rPr>
                <w:rFonts w:hint="eastAsia" w:ascii="仿宋_GB2312" w:hAnsi="仿宋_GB2312" w:cs="仿宋_GB2312"/>
                <w:b/>
                <w:bCs/>
                <w:sz w:val="24"/>
                <w:szCs w:val="24"/>
              </w:rPr>
              <w:t>（3）《气象资料共享管理办法》（中国气象局令第4号）第十八条</w:t>
            </w:r>
            <w:r>
              <w:rPr>
                <w:rFonts w:hint="eastAsia" w:ascii="仿宋_GB2312" w:hAnsi="仿宋_GB2312" w:cs="仿宋_GB2312"/>
                <w:sz w:val="24"/>
                <w:szCs w:val="24"/>
              </w:rPr>
              <w:t>：“违反本办法规定，将通过网络无偿下载的或按公益使用免费获取的气象资料，用于经营性活动的，由有关气象主管机构责令其改正，给予警告，并处以五万元以下罚款。情节严重的，停止向其提供气象资料。”</w:t>
            </w:r>
          </w:p>
        </w:tc>
        <w:tc>
          <w:tcPr>
            <w:tcW w:w="1192" w:type="dxa"/>
            <w:vAlign w:val="center"/>
          </w:tcPr>
          <w:p w14:paraId="51387A44">
            <w:pPr>
              <w:spacing w:line="320" w:lineRule="exact"/>
              <w:rPr>
                <w:rFonts w:ascii="仿宋_GB2312" w:hAnsi="仿宋_GB2312" w:cs="仿宋_GB2312"/>
                <w:sz w:val="24"/>
                <w:szCs w:val="24"/>
              </w:rPr>
            </w:pPr>
            <w:r>
              <w:rPr>
                <w:rFonts w:hint="eastAsia" w:ascii="仿宋_GB2312" w:hAnsi="仿宋_GB2312" w:cs="仿宋_GB2312"/>
                <w:sz w:val="24"/>
                <w:szCs w:val="24"/>
              </w:rPr>
              <w:t>首次被发现，立即停止违法行为，未造成资料泄密，没有经营性收入</w:t>
            </w:r>
          </w:p>
        </w:tc>
        <w:tc>
          <w:tcPr>
            <w:tcW w:w="1748" w:type="dxa"/>
            <w:vAlign w:val="center"/>
          </w:tcPr>
          <w:p w14:paraId="7B063988">
            <w:pPr>
              <w:spacing w:line="300" w:lineRule="exact"/>
              <w:rPr>
                <w:rFonts w:ascii="仿宋_GB2312" w:hAnsi="仿宋_GB2312" w:cs="仿宋_GB2312"/>
                <w:sz w:val="24"/>
                <w:szCs w:val="24"/>
              </w:rPr>
            </w:pPr>
            <w:r>
              <w:rPr>
                <w:rFonts w:hint="eastAsia" w:ascii="仿宋_GB2312" w:hAnsi="仿宋_GB2312" w:cs="仿宋_GB2312"/>
                <w:sz w:val="24"/>
                <w:szCs w:val="24"/>
              </w:rPr>
              <w:t>《中华人民共和国行政处罚法》第三十二条第一项：“当事人有下列情形之一，应当从轻或者减轻行政处罚：（一）主动消除或者减轻违法行为危害后果的；”</w:t>
            </w:r>
          </w:p>
        </w:tc>
        <w:tc>
          <w:tcPr>
            <w:tcW w:w="916" w:type="dxa"/>
            <w:vAlign w:val="center"/>
          </w:tcPr>
          <w:p w14:paraId="0323A6E6">
            <w:pPr>
              <w:spacing w:line="320" w:lineRule="exact"/>
              <w:rPr>
                <w:rFonts w:ascii="仿宋_GB2312" w:hAnsi="仿宋_GB2312" w:cs="仿宋_GB2312"/>
                <w:sz w:val="24"/>
                <w:szCs w:val="24"/>
              </w:rPr>
            </w:pPr>
            <w:r>
              <w:rPr>
                <w:rFonts w:hint="eastAsia" w:ascii="仿宋_GB2312" w:hAnsi="仿宋_GB2312" w:cs="仿宋_GB2312"/>
                <w:sz w:val="24"/>
                <w:szCs w:val="24"/>
              </w:rPr>
              <w:t>警告，不予罚款</w:t>
            </w:r>
          </w:p>
        </w:tc>
        <w:tc>
          <w:tcPr>
            <w:tcW w:w="1066" w:type="dxa"/>
            <w:vAlign w:val="center"/>
          </w:tcPr>
          <w:p w14:paraId="197A0CF4">
            <w:pPr>
              <w:spacing w:line="320" w:lineRule="exact"/>
              <w:rPr>
                <w:rFonts w:hint="eastAsia" w:ascii="仿宋_GB2312" w:hAnsi="仿宋_GB2312" w:eastAsia="仿宋_GB2312" w:cs="仿宋_GB2312"/>
                <w:sz w:val="24"/>
                <w:szCs w:val="24"/>
                <w:lang w:eastAsia="zh-CN"/>
              </w:rPr>
            </w:pPr>
            <w:r>
              <w:rPr>
                <w:rFonts w:hint="eastAsia" w:ascii="仿宋_GB2312" w:hAnsi="仿宋_GB2312" w:cs="仿宋_GB2312"/>
                <w:sz w:val="24"/>
                <w:szCs w:val="24"/>
              </w:rPr>
              <w:t>纳入重点监管名录，加强行政执法检查</w:t>
            </w:r>
            <w:r>
              <w:rPr>
                <w:rFonts w:hint="eastAsia" w:ascii="仿宋_GB2312" w:hAnsi="仿宋_GB2312" w:cs="仿宋_GB2312"/>
                <w:sz w:val="24"/>
                <w:szCs w:val="24"/>
                <w:lang w:eastAsia="zh-CN"/>
              </w:rPr>
              <w:t>。</w:t>
            </w:r>
          </w:p>
        </w:tc>
        <w:tc>
          <w:tcPr>
            <w:tcW w:w="712" w:type="dxa"/>
            <w:vAlign w:val="center"/>
          </w:tcPr>
          <w:p w14:paraId="68553257">
            <w:pPr>
              <w:spacing w:line="320" w:lineRule="exact"/>
              <w:jc w:val="center"/>
              <w:rPr>
                <w:rFonts w:ascii="仿宋_GB2312" w:hAnsi="仿宋_GB2312" w:cs="仿宋_GB2312"/>
                <w:sz w:val="24"/>
                <w:szCs w:val="24"/>
              </w:rPr>
            </w:pPr>
          </w:p>
        </w:tc>
      </w:tr>
      <w:tr w14:paraId="36E4E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5" w:type="dxa"/>
            <w:vAlign w:val="center"/>
          </w:tcPr>
          <w:p w14:paraId="01E97367">
            <w:pPr>
              <w:spacing w:line="320" w:lineRule="exact"/>
              <w:jc w:val="center"/>
              <w:rPr>
                <w:rFonts w:ascii="仿宋_GB2312" w:hAnsi="仿宋_GB2312" w:cs="仿宋_GB2312"/>
                <w:sz w:val="24"/>
                <w:szCs w:val="24"/>
              </w:rPr>
            </w:pPr>
            <w:r>
              <w:rPr>
                <w:rFonts w:hint="eastAsia" w:ascii="仿宋_GB2312" w:hAnsi="仿宋_GB2312" w:cs="仿宋_GB2312"/>
                <w:sz w:val="24"/>
                <w:szCs w:val="24"/>
              </w:rPr>
              <w:t>3</w:t>
            </w:r>
          </w:p>
        </w:tc>
        <w:tc>
          <w:tcPr>
            <w:tcW w:w="1065" w:type="dxa"/>
            <w:vAlign w:val="center"/>
          </w:tcPr>
          <w:p w14:paraId="5AEDAD6F">
            <w:pPr>
              <w:spacing w:line="320" w:lineRule="exact"/>
              <w:rPr>
                <w:rFonts w:ascii="仿宋_GB2312" w:hAnsi="仿宋_GB2312" w:cs="仿宋_GB2312"/>
                <w:sz w:val="24"/>
                <w:szCs w:val="24"/>
              </w:rPr>
            </w:pPr>
            <w:r>
              <w:rPr>
                <w:rFonts w:hint="eastAsia" w:ascii="仿宋_GB2312" w:hAnsi="仿宋_GB2312" w:cs="仿宋_GB2312"/>
                <w:sz w:val="24"/>
                <w:szCs w:val="24"/>
              </w:rPr>
              <w:t>外国组织和个人未经气象主管机构批准，擅自从事气象服务活动的处罚</w:t>
            </w:r>
          </w:p>
        </w:tc>
        <w:tc>
          <w:tcPr>
            <w:tcW w:w="6527" w:type="dxa"/>
            <w:vAlign w:val="center"/>
          </w:tcPr>
          <w:p w14:paraId="6D1F93BF">
            <w:pPr>
              <w:spacing w:line="320" w:lineRule="exact"/>
              <w:rPr>
                <w:rFonts w:ascii="仿宋_GB2312" w:hAnsi="仿宋_GB2312" w:cs="仿宋_GB2312"/>
                <w:sz w:val="24"/>
                <w:szCs w:val="24"/>
              </w:rPr>
            </w:pPr>
            <w:r>
              <w:rPr>
                <w:rFonts w:hint="eastAsia" w:ascii="仿宋_GB2312" w:hAnsi="仿宋_GB2312" w:cs="仿宋_GB2312"/>
                <w:b/>
                <w:bCs/>
                <w:sz w:val="24"/>
                <w:szCs w:val="24"/>
              </w:rPr>
              <w:t>《气象信息服务管理办法》（中国气象局令第27号）第十九条</w:t>
            </w:r>
            <w:r>
              <w:rPr>
                <w:rFonts w:hint="eastAsia" w:ascii="仿宋_GB2312" w:hAnsi="仿宋_GB2312" w:cs="仿宋_GB2312"/>
                <w:sz w:val="24"/>
                <w:szCs w:val="24"/>
              </w:rPr>
              <w:t>：“外国组织和个人未经气象主管机构批准，擅自从事气象服务活动的，由有关气象主管机构责令改正，给予警告，并处3万元以下罚款。”</w:t>
            </w:r>
          </w:p>
        </w:tc>
        <w:tc>
          <w:tcPr>
            <w:tcW w:w="1192" w:type="dxa"/>
            <w:vAlign w:val="center"/>
          </w:tcPr>
          <w:p w14:paraId="1436DC6A">
            <w:pPr>
              <w:spacing w:line="320" w:lineRule="exact"/>
              <w:rPr>
                <w:rFonts w:ascii="仿宋_GB2312" w:hAnsi="仿宋_GB2312" w:cs="仿宋_GB2312"/>
                <w:sz w:val="24"/>
                <w:szCs w:val="24"/>
              </w:rPr>
            </w:pPr>
            <w:r>
              <w:rPr>
                <w:rFonts w:hint="eastAsia" w:ascii="仿宋_GB2312" w:hAnsi="仿宋_GB2312" w:cs="仿宋_GB2312"/>
                <w:sz w:val="24"/>
                <w:szCs w:val="24"/>
              </w:rPr>
              <w:t>首次被发现；立即停止违法行为；及时取得气象主管机构批准</w:t>
            </w:r>
          </w:p>
        </w:tc>
        <w:tc>
          <w:tcPr>
            <w:tcW w:w="1748" w:type="dxa"/>
            <w:vAlign w:val="center"/>
          </w:tcPr>
          <w:p w14:paraId="4DCD20A7">
            <w:pPr>
              <w:spacing w:line="320" w:lineRule="exact"/>
              <w:rPr>
                <w:rFonts w:ascii="仿宋_GB2312" w:hAnsi="仿宋_GB2312" w:cs="仿宋_GB2312"/>
                <w:sz w:val="24"/>
                <w:szCs w:val="24"/>
              </w:rPr>
            </w:pPr>
            <w:r>
              <w:rPr>
                <w:rFonts w:hint="eastAsia" w:ascii="仿宋_GB2312" w:hAnsi="仿宋_GB2312" w:cs="仿宋_GB2312"/>
                <w:sz w:val="24"/>
                <w:szCs w:val="24"/>
              </w:rPr>
              <w:t>《中华人民共和国行政处罚法》第三十二条第一项：“当事人有下列情形之一，应当从轻或者减轻行政处罚：</w:t>
            </w:r>
          </w:p>
          <w:p w14:paraId="3996757A">
            <w:pPr>
              <w:spacing w:line="320" w:lineRule="exact"/>
              <w:rPr>
                <w:rFonts w:ascii="仿宋_GB2312" w:hAnsi="仿宋_GB2312" w:cs="仿宋_GB2312"/>
                <w:sz w:val="24"/>
                <w:szCs w:val="24"/>
              </w:rPr>
            </w:pPr>
            <w:r>
              <w:rPr>
                <w:rFonts w:hint="eastAsia" w:ascii="仿宋_GB2312" w:hAnsi="仿宋_GB2312" w:cs="仿宋_GB2312"/>
                <w:sz w:val="24"/>
                <w:szCs w:val="24"/>
              </w:rPr>
              <w:t>（一）主动消除或者减轻违法行为危害后果的；”</w:t>
            </w:r>
          </w:p>
        </w:tc>
        <w:tc>
          <w:tcPr>
            <w:tcW w:w="916" w:type="dxa"/>
            <w:vAlign w:val="center"/>
          </w:tcPr>
          <w:p w14:paraId="77EAF8FD">
            <w:pPr>
              <w:spacing w:line="320" w:lineRule="exact"/>
              <w:rPr>
                <w:rFonts w:ascii="仿宋_GB2312" w:hAnsi="仿宋_GB2312" w:cs="仿宋_GB2312"/>
                <w:sz w:val="24"/>
                <w:szCs w:val="24"/>
              </w:rPr>
            </w:pPr>
            <w:r>
              <w:rPr>
                <w:rFonts w:hint="eastAsia" w:ascii="仿宋_GB2312" w:hAnsi="仿宋_GB2312" w:cs="仿宋_GB2312"/>
                <w:sz w:val="24"/>
                <w:szCs w:val="24"/>
              </w:rPr>
              <w:t>警告，不予</w:t>
            </w:r>
          </w:p>
          <w:p w14:paraId="47BB8690">
            <w:pPr>
              <w:spacing w:line="320" w:lineRule="exact"/>
              <w:rPr>
                <w:rFonts w:ascii="仿宋_GB2312" w:hAnsi="仿宋_GB2312" w:cs="仿宋_GB2312"/>
                <w:sz w:val="24"/>
                <w:szCs w:val="24"/>
              </w:rPr>
            </w:pPr>
            <w:r>
              <w:rPr>
                <w:rFonts w:hint="eastAsia" w:ascii="仿宋_GB2312" w:hAnsi="仿宋_GB2312" w:cs="仿宋_GB2312"/>
                <w:sz w:val="24"/>
                <w:szCs w:val="24"/>
              </w:rPr>
              <w:t>罚款</w:t>
            </w:r>
          </w:p>
        </w:tc>
        <w:tc>
          <w:tcPr>
            <w:tcW w:w="1066" w:type="dxa"/>
            <w:vAlign w:val="center"/>
          </w:tcPr>
          <w:p w14:paraId="4C4B4C76">
            <w:pPr>
              <w:spacing w:line="320" w:lineRule="exact"/>
              <w:rPr>
                <w:rFonts w:hint="eastAsia" w:ascii="仿宋_GB2312" w:hAnsi="仿宋_GB2312" w:eastAsia="仿宋_GB2312" w:cs="仿宋_GB2312"/>
                <w:sz w:val="24"/>
                <w:szCs w:val="24"/>
                <w:lang w:eastAsia="zh-CN"/>
              </w:rPr>
            </w:pPr>
            <w:r>
              <w:rPr>
                <w:rFonts w:hint="eastAsia" w:ascii="仿宋_GB2312" w:hAnsi="仿宋_GB2312" w:cs="仿宋_GB2312"/>
                <w:sz w:val="24"/>
                <w:szCs w:val="24"/>
              </w:rPr>
              <w:t>纳入重点监管名录，加强行政执法检查</w:t>
            </w:r>
            <w:r>
              <w:rPr>
                <w:rFonts w:hint="eastAsia" w:ascii="仿宋_GB2312" w:hAnsi="仿宋_GB2312" w:cs="仿宋_GB2312"/>
                <w:sz w:val="24"/>
                <w:szCs w:val="24"/>
                <w:lang w:eastAsia="zh-CN"/>
              </w:rPr>
              <w:t>。</w:t>
            </w:r>
          </w:p>
        </w:tc>
        <w:tc>
          <w:tcPr>
            <w:tcW w:w="712" w:type="dxa"/>
            <w:vAlign w:val="center"/>
          </w:tcPr>
          <w:p w14:paraId="078B84E1">
            <w:pPr>
              <w:spacing w:line="320" w:lineRule="exact"/>
              <w:rPr>
                <w:rFonts w:ascii="仿宋_GB2312" w:hAnsi="仿宋_GB2312" w:cs="仿宋_GB2312"/>
                <w:sz w:val="24"/>
                <w:szCs w:val="24"/>
              </w:rPr>
            </w:pPr>
          </w:p>
        </w:tc>
      </w:tr>
    </w:tbl>
    <w:p w14:paraId="5E465816"/>
    <w:p w14:paraId="6FDECA39"/>
    <w:p w14:paraId="3BD82E68">
      <w:pPr>
        <w:keepNext w:val="0"/>
        <w:keepLines w:val="0"/>
        <w:pageBreakBefore w:val="0"/>
        <w:widowControl w:val="0"/>
        <w:kinsoku/>
        <w:wordWrap/>
        <w:overflowPunct/>
        <w:topLinePunct w:val="0"/>
        <w:autoSpaceDE/>
        <w:autoSpaceDN/>
        <w:bidi w:val="0"/>
        <w:adjustRightInd/>
        <w:snapToGrid/>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rPr>
        <w:t>濮阳</w:t>
      </w:r>
      <w:r>
        <w:rPr>
          <w:rFonts w:hint="eastAsia" w:ascii="方正小标宋简体" w:hAnsi="方正小标宋简体" w:eastAsia="方正小标宋简体" w:cs="方正小标宋简体"/>
          <w:color w:val="000000"/>
          <w:kern w:val="0"/>
          <w:sz w:val="44"/>
          <w:szCs w:val="44"/>
        </w:rPr>
        <w:t>市气象局行政执法“四张清单”</w:t>
      </w:r>
    </w:p>
    <w:p w14:paraId="4A59366E">
      <w:pPr>
        <w:jc w:val="center"/>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不予实施行政强制事项清单</w:t>
      </w:r>
      <w:r>
        <w:rPr>
          <w:rFonts w:hint="eastAsia" w:ascii="楷体_GB2312" w:hAnsi="楷体_GB2312" w:eastAsia="楷体_GB2312" w:cs="楷体_GB2312"/>
          <w:b/>
          <w:bCs/>
          <w:sz w:val="32"/>
          <w:szCs w:val="32"/>
          <w:lang w:eastAsia="zh-CN"/>
        </w:rPr>
        <w:t>）</w:t>
      </w:r>
    </w:p>
    <w:p w14:paraId="31CBDB0D"/>
    <w:tbl>
      <w:tblPr>
        <w:tblStyle w:val="6"/>
        <w:tblW w:w="137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649"/>
        <w:gridCol w:w="2725"/>
        <w:gridCol w:w="1620"/>
        <w:gridCol w:w="3345"/>
        <w:gridCol w:w="2190"/>
        <w:gridCol w:w="1510"/>
      </w:tblGrid>
      <w:tr w14:paraId="75585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Align w:val="center"/>
          </w:tcPr>
          <w:p w14:paraId="76BEE29D">
            <w:pPr>
              <w:spacing w:line="360" w:lineRule="exact"/>
              <w:jc w:val="center"/>
              <w:rPr>
                <w:rFonts w:ascii="黑体" w:hAnsi="黑体" w:eastAsia="黑体" w:cs="黑体"/>
                <w:sz w:val="28"/>
                <w:szCs w:val="28"/>
              </w:rPr>
            </w:pPr>
            <w:r>
              <w:rPr>
                <w:rFonts w:hint="eastAsia" w:ascii="黑体" w:hAnsi="黑体" w:eastAsia="黑体" w:cs="黑体"/>
                <w:sz w:val="28"/>
                <w:szCs w:val="28"/>
              </w:rPr>
              <w:t>序号</w:t>
            </w:r>
          </w:p>
        </w:tc>
        <w:tc>
          <w:tcPr>
            <w:tcW w:w="1649" w:type="dxa"/>
            <w:vAlign w:val="center"/>
          </w:tcPr>
          <w:p w14:paraId="1FBF1967">
            <w:pPr>
              <w:spacing w:line="360" w:lineRule="exact"/>
              <w:jc w:val="center"/>
              <w:rPr>
                <w:rFonts w:ascii="黑体" w:hAnsi="黑体" w:eastAsia="黑体" w:cs="黑体"/>
                <w:sz w:val="28"/>
                <w:szCs w:val="28"/>
              </w:rPr>
            </w:pPr>
            <w:r>
              <w:rPr>
                <w:rFonts w:hint="eastAsia" w:ascii="黑体" w:hAnsi="黑体" w:eastAsia="黑体" w:cs="黑体"/>
                <w:sz w:val="28"/>
                <w:szCs w:val="28"/>
              </w:rPr>
              <w:t>事项名称</w:t>
            </w:r>
          </w:p>
        </w:tc>
        <w:tc>
          <w:tcPr>
            <w:tcW w:w="2725" w:type="dxa"/>
            <w:vAlign w:val="center"/>
          </w:tcPr>
          <w:p w14:paraId="22DDC0C0">
            <w:pPr>
              <w:spacing w:line="360" w:lineRule="exact"/>
              <w:jc w:val="center"/>
              <w:rPr>
                <w:rFonts w:ascii="黑体" w:hAnsi="黑体" w:eastAsia="黑体" w:cs="黑体"/>
                <w:sz w:val="28"/>
                <w:szCs w:val="28"/>
              </w:rPr>
            </w:pPr>
            <w:r>
              <w:rPr>
                <w:rFonts w:hint="eastAsia" w:ascii="黑体" w:hAnsi="黑体" w:eastAsia="黑体" w:cs="黑体"/>
                <w:sz w:val="28"/>
                <w:szCs w:val="28"/>
              </w:rPr>
              <w:t>设定依据</w:t>
            </w:r>
          </w:p>
        </w:tc>
        <w:tc>
          <w:tcPr>
            <w:tcW w:w="1620" w:type="dxa"/>
            <w:vAlign w:val="center"/>
          </w:tcPr>
          <w:p w14:paraId="4EF5D661">
            <w:pPr>
              <w:spacing w:line="360" w:lineRule="exact"/>
              <w:jc w:val="center"/>
              <w:rPr>
                <w:rFonts w:ascii="黑体" w:hAnsi="黑体" w:eastAsia="黑体" w:cs="黑体"/>
                <w:sz w:val="28"/>
                <w:szCs w:val="28"/>
              </w:rPr>
            </w:pPr>
            <w:r>
              <w:rPr>
                <w:rFonts w:hint="eastAsia" w:ascii="黑体" w:hAnsi="黑体" w:eastAsia="黑体" w:cs="黑体"/>
                <w:sz w:val="28"/>
                <w:szCs w:val="28"/>
              </w:rPr>
              <w:t>适用情形</w:t>
            </w:r>
          </w:p>
        </w:tc>
        <w:tc>
          <w:tcPr>
            <w:tcW w:w="3345" w:type="dxa"/>
            <w:vAlign w:val="center"/>
          </w:tcPr>
          <w:p w14:paraId="775F172F">
            <w:pPr>
              <w:spacing w:line="360" w:lineRule="exact"/>
              <w:jc w:val="center"/>
              <w:rPr>
                <w:rFonts w:ascii="黑体" w:hAnsi="黑体" w:eastAsia="黑体" w:cs="黑体"/>
                <w:sz w:val="28"/>
                <w:szCs w:val="28"/>
              </w:rPr>
            </w:pPr>
            <w:r>
              <w:rPr>
                <w:rFonts w:hint="eastAsia" w:ascii="黑体" w:hAnsi="黑体" w:eastAsia="黑体" w:cs="黑体"/>
                <w:sz w:val="28"/>
                <w:szCs w:val="28"/>
              </w:rPr>
              <w:t>不予试施行政强制依据</w:t>
            </w:r>
          </w:p>
        </w:tc>
        <w:tc>
          <w:tcPr>
            <w:tcW w:w="2190" w:type="dxa"/>
            <w:vAlign w:val="center"/>
          </w:tcPr>
          <w:p w14:paraId="1382FAE9">
            <w:pPr>
              <w:spacing w:line="360" w:lineRule="exact"/>
              <w:jc w:val="center"/>
              <w:rPr>
                <w:rFonts w:ascii="黑体" w:hAnsi="黑体" w:eastAsia="黑体" w:cs="黑体"/>
                <w:sz w:val="28"/>
                <w:szCs w:val="28"/>
              </w:rPr>
            </w:pPr>
            <w:r>
              <w:rPr>
                <w:rFonts w:hint="eastAsia" w:ascii="黑体" w:hAnsi="黑体" w:eastAsia="黑体" w:cs="黑体"/>
                <w:sz w:val="28"/>
                <w:szCs w:val="28"/>
              </w:rPr>
              <w:t>配套监管措施</w:t>
            </w:r>
          </w:p>
        </w:tc>
        <w:tc>
          <w:tcPr>
            <w:tcW w:w="1510" w:type="dxa"/>
            <w:vAlign w:val="center"/>
          </w:tcPr>
          <w:p w14:paraId="3DC9DFCA">
            <w:pPr>
              <w:spacing w:line="360" w:lineRule="exact"/>
              <w:jc w:val="center"/>
              <w:rPr>
                <w:rFonts w:ascii="黑体" w:hAnsi="黑体" w:eastAsia="黑体" w:cs="黑体"/>
                <w:sz w:val="28"/>
                <w:szCs w:val="28"/>
              </w:rPr>
            </w:pPr>
            <w:r>
              <w:rPr>
                <w:rFonts w:hint="eastAsia" w:ascii="黑体" w:hAnsi="黑体" w:eastAsia="黑体" w:cs="黑体"/>
                <w:sz w:val="28"/>
                <w:szCs w:val="28"/>
              </w:rPr>
              <w:t>备注</w:t>
            </w:r>
          </w:p>
        </w:tc>
      </w:tr>
      <w:tr w14:paraId="77BA5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Align w:val="center"/>
          </w:tcPr>
          <w:p w14:paraId="458DCF30"/>
        </w:tc>
        <w:tc>
          <w:tcPr>
            <w:tcW w:w="1649" w:type="dxa"/>
            <w:vAlign w:val="center"/>
          </w:tcPr>
          <w:p w14:paraId="1A54CAD9"/>
        </w:tc>
        <w:tc>
          <w:tcPr>
            <w:tcW w:w="2725" w:type="dxa"/>
            <w:vAlign w:val="center"/>
          </w:tcPr>
          <w:p w14:paraId="68742ECA"/>
        </w:tc>
        <w:tc>
          <w:tcPr>
            <w:tcW w:w="1620" w:type="dxa"/>
            <w:vAlign w:val="center"/>
          </w:tcPr>
          <w:p w14:paraId="3DD96321"/>
        </w:tc>
        <w:tc>
          <w:tcPr>
            <w:tcW w:w="3345" w:type="dxa"/>
            <w:vAlign w:val="center"/>
          </w:tcPr>
          <w:p w14:paraId="0AD84470"/>
        </w:tc>
        <w:tc>
          <w:tcPr>
            <w:tcW w:w="2190" w:type="dxa"/>
            <w:vAlign w:val="center"/>
          </w:tcPr>
          <w:p w14:paraId="65551989"/>
        </w:tc>
        <w:tc>
          <w:tcPr>
            <w:tcW w:w="1510" w:type="dxa"/>
            <w:vAlign w:val="center"/>
          </w:tcPr>
          <w:p w14:paraId="560390E9">
            <w:r>
              <w:rPr>
                <w:rFonts w:hint="eastAsia" w:ascii="仿宋_GB2312" w:hAnsi="仿宋_GB2312" w:cs="仿宋_GB2312"/>
                <w:sz w:val="24"/>
                <w:szCs w:val="24"/>
              </w:rPr>
              <w:t>无行政强制事项</w:t>
            </w:r>
          </w:p>
        </w:tc>
      </w:tr>
      <w:tr w14:paraId="1E335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Align w:val="center"/>
          </w:tcPr>
          <w:p w14:paraId="52F8BCDE"/>
        </w:tc>
        <w:tc>
          <w:tcPr>
            <w:tcW w:w="1649" w:type="dxa"/>
            <w:vAlign w:val="center"/>
          </w:tcPr>
          <w:p w14:paraId="02D78153"/>
        </w:tc>
        <w:tc>
          <w:tcPr>
            <w:tcW w:w="2725" w:type="dxa"/>
            <w:vAlign w:val="center"/>
          </w:tcPr>
          <w:p w14:paraId="029024BA"/>
        </w:tc>
        <w:tc>
          <w:tcPr>
            <w:tcW w:w="1620" w:type="dxa"/>
            <w:vAlign w:val="center"/>
          </w:tcPr>
          <w:p w14:paraId="7EB621FB"/>
        </w:tc>
        <w:tc>
          <w:tcPr>
            <w:tcW w:w="3345" w:type="dxa"/>
            <w:vAlign w:val="center"/>
          </w:tcPr>
          <w:p w14:paraId="296DCE37"/>
        </w:tc>
        <w:tc>
          <w:tcPr>
            <w:tcW w:w="2190" w:type="dxa"/>
            <w:vAlign w:val="center"/>
          </w:tcPr>
          <w:p w14:paraId="55D283DD"/>
        </w:tc>
        <w:tc>
          <w:tcPr>
            <w:tcW w:w="1510" w:type="dxa"/>
            <w:vAlign w:val="center"/>
          </w:tcPr>
          <w:p w14:paraId="4ACD75A2"/>
        </w:tc>
      </w:tr>
      <w:tr w14:paraId="165DA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Align w:val="center"/>
          </w:tcPr>
          <w:p w14:paraId="32ECB551"/>
        </w:tc>
        <w:tc>
          <w:tcPr>
            <w:tcW w:w="1649" w:type="dxa"/>
            <w:vAlign w:val="center"/>
          </w:tcPr>
          <w:p w14:paraId="7DE70812"/>
        </w:tc>
        <w:tc>
          <w:tcPr>
            <w:tcW w:w="2725" w:type="dxa"/>
            <w:vAlign w:val="center"/>
          </w:tcPr>
          <w:p w14:paraId="50CE0726"/>
        </w:tc>
        <w:tc>
          <w:tcPr>
            <w:tcW w:w="1620" w:type="dxa"/>
            <w:vAlign w:val="center"/>
          </w:tcPr>
          <w:p w14:paraId="243DBDFA"/>
        </w:tc>
        <w:tc>
          <w:tcPr>
            <w:tcW w:w="3345" w:type="dxa"/>
            <w:vAlign w:val="center"/>
          </w:tcPr>
          <w:p w14:paraId="06BE9034"/>
        </w:tc>
        <w:tc>
          <w:tcPr>
            <w:tcW w:w="2190" w:type="dxa"/>
            <w:vAlign w:val="center"/>
          </w:tcPr>
          <w:p w14:paraId="460313B6"/>
        </w:tc>
        <w:tc>
          <w:tcPr>
            <w:tcW w:w="1510" w:type="dxa"/>
            <w:vAlign w:val="center"/>
          </w:tcPr>
          <w:p w14:paraId="1C50F4E7"/>
        </w:tc>
      </w:tr>
    </w:tbl>
    <w:p w14:paraId="596BE336"/>
    <w:p w14:paraId="26E6CF5D"/>
    <w:p w14:paraId="7DBBBA4D"/>
    <w:p w14:paraId="1FF7E8CE"/>
    <w:p w14:paraId="50CC9E94"/>
    <w:p w14:paraId="70DF9FDB"/>
    <w:p w14:paraId="4155271C">
      <w:pPr>
        <w:spacing w:line="320" w:lineRule="exact"/>
        <w:rPr>
          <w:rFonts w:ascii="宋体" w:hAnsi="宋体" w:eastAsia="宋体" w:cs="宋体"/>
          <w:sz w:val="24"/>
          <w:szCs w:val="24"/>
        </w:rPr>
      </w:pPr>
    </w:p>
    <w:sectPr>
      <w:pgSz w:w="16838" w:h="11906" w:orient="landscape"/>
      <w:pgMar w:top="1406" w:right="1440" w:bottom="1179" w:left="1440"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BA79DE"/>
    <w:multiLevelType w:val="singleLevel"/>
    <w:tmpl w:val="A0BA79DE"/>
    <w:lvl w:ilvl="0" w:tentative="0">
      <w:start w:val="1"/>
      <w:numFmt w:val="decimal"/>
      <w:lvlText w:val="%1."/>
      <w:lvlJc w:val="left"/>
      <w:pPr>
        <w:tabs>
          <w:tab w:val="left" w:pos="312"/>
        </w:tabs>
      </w:pPr>
    </w:lvl>
  </w:abstractNum>
  <w:abstractNum w:abstractNumId="1">
    <w:nsid w:val="AEF69C41"/>
    <w:multiLevelType w:val="singleLevel"/>
    <w:tmpl w:val="AEF69C41"/>
    <w:lvl w:ilvl="0" w:tentative="0">
      <w:start w:val="1"/>
      <w:numFmt w:val="decimal"/>
      <w:lvlText w:val="%1."/>
      <w:lvlJc w:val="left"/>
      <w:pPr>
        <w:tabs>
          <w:tab w:val="left" w:pos="312"/>
        </w:tabs>
      </w:pPr>
    </w:lvl>
  </w:abstractNum>
  <w:abstractNum w:abstractNumId="2">
    <w:nsid w:val="C3858524"/>
    <w:multiLevelType w:val="singleLevel"/>
    <w:tmpl w:val="C3858524"/>
    <w:lvl w:ilvl="0" w:tentative="0">
      <w:start w:val="1"/>
      <w:numFmt w:val="decimal"/>
      <w:lvlText w:val="%1."/>
      <w:lvlJc w:val="left"/>
      <w:pPr>
        <w:tabs>
          <w:tab w:val="left" w:pos="312"/>
        </w:tabs>
      </w:pPr>
    </w:lvl>
  </w:abstractNum>
  <w:abstractNum w:abstractNumId="3">
    <w:nsid w:val="CF91E40F"/>
    <w:multiLevelType w:val="singleLevel"/>
    <w:tmpl w:val="CF91E40F"/>
    <w:lvl w:ilvl="0" w:tentative="0">
      <w:start w:val="1"/>
      <w:numFmt w:val="decimal"/>
      <w:lvlText w:val="%1."/>
      <w:lvlJc w:val="left"/>
      <w:pPr>
        <w:tabs>
          <w:tab w:val="left" w:pos="312"/>
        </w:tabs>
      </w:pPr>
    </w:lvl>
  </w:abstractNum>
  <w:abstractNum w:abstractNumId="4">
    <w:nsid w:val="D84E22E7"/>
    <w:multiLevelType w:val="singleLevel"/>
    <w:tmpl w:val="D84E22E7"/>
    <w:lvl w:ilvl="0" w:tentative="0">
      <w:start w:val="1"/>
      <w:numFmt w:val="decimal"/>
      <w:lvlText w:val="%1."/>
      <w:lvlJc w:val="left"/>
      <w:pPr>
        <w:tabs>
          <w:tab w:val="left" w:pos="312"/>
        </w:tabs>
      </w:pPr>
    </w:lvl>
  </w:abstractNum>
  <w:abstractNum w:abstractNumId="5">
    <w:nsid w:val="D8D7D08C"/>
    <w:multiLevelType w:val="singleLevel"/>
    <w:tmpl w:val="D8D7D08C"/>
    <w:lvl w:ilvl="0" w:tentative="0">
      <w:start w:val="1"/>
      <w:numFmt w:val="decimal"/>
      <w:lvlText w:val="%1."/>
      <w:lvlJc w:val="left"/>
      <w:pPr>
        <w:tabs>
          <w:tab w:val="left" w:pos="312"/>
        </w:tabs>
      </w:pPr>
    </w:lvl>
  </w:abstractNum>
  <w:abstractNum w:abstractNumId="6">
    <w:nsid w:val="F4F290E0"/>
    <w:multiLevelType w:val="singleLevel"/>
    <w:tmpl w:val="F4F290E0"/>
    <w:lvl w:ilvl="0" w:tentative="0">
      <w:start w:val="1"/>
      <w:numFmt w:val="decimal"/>
      <w:lvlText w:val="%1."/>
      <w:lvlJc w:val="left"/>
      <w:pPr>
        <w:tabs>
          <w:tab w:val="left" w:pos="312"/>
        </w:tabs>
      </w:pPr>
    </w:lvl>
  </w:abstractNum>
  <w:abstractNum w:abstractNumId="7">
    <w:nsid w:val="150C5484"/>
    <w:multiLevelType w:val="singleLevel"/>
    <w:tmpl w:val="150C5484"/>
    <w:lvl w:ilvl="0" w:tentative="0">
      <w:start w:val="1"/>
      <w:numFmt w:val="decimal"/>
      <w:lvlText w:val="%1."/>
      <w:lvlJc w:val="left"/>
      <w:pPr>
        <w:tabs>
          <w:tab w:val="left" w:pos="312"/>
        </w:tabs>
      </w:pPr>
    </w:lvl>
  </w:abstractNum>
  <w:abstractNum w:abstractNumId="8">
    <w:nsid w:val="1C16E6AB"/>
    <w:multiLevelType w:val="singleLevel"/>
    <w:tmpl w:val="1C16E6AB"/>
    <w:lvl w:ilvl="0" w:tentative="0">
      <w:start w:val="1"/>
      <w:numFmt w:val="decimal"/>
      <w:lvlText w:val="%1."/>
      <w:lvlJc w:val="left"/>
      <w:pPr>
        <w:tabs>
          <w:tab w:val="left" w:pos="312"/>
        </w:tabs>
      </w:pPr>
    </w:lvl>
  </w:abstractNum>
  <w:abstractNum w:abstractNumId="9">
    <w:nsid w:val="1CE108C6"/>
    <w:multiLevelType w:val="singleLevel"/>
    <w:tmpl w:val="1CE108C6"/>
    <w:lvl w:ilvl="0" w:tentative="0">
      <w:start w:val="1"/>
      <w:numFmt w:val="decimal"/>
      <w:lvlText w:val="%1."/>
      <w:lvlJc w:val="left"/>
      <w:pPr>
        <w:tabs>
          <w:tab w:val="left" w:pos="312"/>
        </w:tabs>
      </w:pPr>
    </w:lvl>
  </w:abstractNum>
  <w:abstractNum w:abstractNumId="10">
    <w:nsid w:val="64E84237"/>
    <w:multiLevelType w:val="singleLevel"/>
    <w:tmpl w:val="64E84237"/>
    <w:lvl w:ilvl="0" w:tentative="0">
      <w:start w:val="1"/>
      <w:numFmt w:val="decimal"/>
      <w:lvlText w:val="%1."/>
      <w:lvlJc w:val="left"/>
      <w:pPr>
        <w:tabs>
          <w:tab w:val="left" w:pos="312"/>
        </w:tabs>
      </w:pPr>
    </w:lvl>
  </w:abstractNum>
  <w:num w:numId="1">
    <w:abstractNumId w:val="5"/>
  </w:num>
  <w:num w:numId="2">
    <w:abstractNumId w:val="2"/>
  </w:num>
  <w:num w:numId="3">
    <w:abstractNumId w:val="1"/>
  </w:num>
  <w:num w:numId="4">
    <w:abstractNumId w:val="0"/>
  </w:num>
  <w:num w:numId="5">
    <w:abstractNumId w:val="6"/>
  </w:num>
  <w:num w:numId="6">
    <w:abstractNumId w:val="3"/>
  </w:num>
  <w:num w:numId="7">
    <w:abstractNumId w:val="10"/>
  </w:num>
  <w:num w:numId="8">
    <w:abstractNumId w:val="4"/>
  </w:num>
  <w:num w:numId="9">
    <w:abstractNumId w:val="9"/>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hNzQ2MGNiODdkYzU3OTI0OGY3NDFjYjg1NDI0NWYifQ=="/>
  </w:docVars>
  <w:rsids>
    <w:rsidRoot w:val="00031FB3"/>
    <w:rsid w:val="000022F6"/>
    <w:rsid w:val="00016D2C"/>
    <w:rsid w:val="00021E52"/>
    <w:rsid w:val="00023F7F"/>
    <w:rsid w:val="00023FC5"/>
    <w:rsid w:val="00025784"/>
    <w:rsid w:val="00025D15"/>
    <w:rsid w:val="000268ED"/>
    <w:rsid w:val="000271AC"/>
    <w:rsid w:val="00031FB3"/>
    <w:rsid w:val="000333DB"/>
    <w:rsid w:val="000363A4"/>
    <w:rsid w:val="00042BD8"/>
    <w:rsid w:val="00043317"/>
    <w:rsid w:val="00051C5E"/>
    <w:rsid w:val="000524D1"/>
    <w:rsid w:val="0005579F"/>
    <w:rsid w:val="00055B13"/>
    <w:rsid w:val="00056D3D"/>
    <w:rsid w:val="00061019"/>
    <w:rsid w:val="000636B0"/>
    <w:rsid w:val="0007513C"/>
    <w:rsid w:val="0008203B"/>
    <w:rsid w:val="00086194"/>
    <w:rsid w:val="00091021"/>
    <w:rsid w:val="000974E8"/>
    <w:rsid w:val="00097A8B"/>
    <w:rsid w:val="000A1297"/>
    <w:rsid w:val="000A2EB9"/>
    <w:rsid w:val="000A3FDC"/>
    <w:rsid w:val="000B7AA1"/>
    <w:rsid w:val="000C3AEF"/>
    <w:rsid w:val="000C530F"/>
    <w:rsid w:val="000C6010"/>
    <w:rsid w:val="000D008D"/>
    <w:rsid w:val="000D02B6"/>
    <w:rsid w:val="000D3B90"/>
    <w:rsid w:val="000D4148"/>
    <w:rsid w:val="000D48EE"/>
    <w:rsid w:val="000E4DD9"/>
    <w:rsid w:val="000E74DD"/>
    <w:rsid w:val="000F0422"/>
    <w:rsid w:val="000F7689"/>
    <w:rsid w:val="00104EB2"/>
    <w:rsid w:val="00113F33"/>
    <w:rsid w:val="00115F60"/>
    <w:rsid w:val="00116042"/>
    <w:rsid w:val="00116549"/>
    <w:rsid w:val="001218CC"/>
    <w:rsid w:val="001227AD"/>
    <w:rsid w:val="00124E45"/>
    <w:rsid w:val="001252F9"/>
    <w:rsid w:val="0013054E"/>
    <w:rsid w:val="0013177E"/>
    <w:rsid w:val="00131DB7"/>
    <w:rsid w:val="001323D5"/>
    <w:rsid w:val="00136BE8"/>
    <w:rsid w:val="00140A4A"/>
    <w:rsid w:val="00140C43"/>
    <w:rsid w:val="00146F6F"/>
    <w:rsid w:val="0015385D"/>
    <w:rsid w:val="00157849"/>
    <w:rsid w:val="00157C46"/>
    <w:rsid w:val="0016148A"/>
    <w:rsid w:val="00165974"/>
    <w:rsid w:val="00167647"/>
    <w:rsid w:val="001736F6"/>
    <w:rsid w:val="0017421B"/>
    <w:rsid w:val="00177257"/>
    <w:rsid w:val="0017786B"/>
    <w:rsid w:val="00180A94"/>
    <w:rsid w:val="00185F37"/>
    <w:rsid w:val="00186592"/>
    <w:rsid w:val="00193125"/>
    <w:rsid w:val="001A082F"/>
    <w:rsid w:val="001A0B18"/>
    <w:rsid w:val="001A1B76"/>
    <w:rsid w:val="001A1C67"/>
    <w:rsid w:val="001A4347"/>
    <w:rsid w:val="001A6775"/>
    <w:rsid w:val="001B1457"/>
    <w:rsid w:val="001B59D8"/>
    <w:rsid w:val="001B5D4E"/>
    <w:rsid w:val="001C039E"/>
    <w:rsid w:val="001C1A91"/>
    <w:rsid w:val="001C2D7D"/>
    <w:rsid w:val="001E1020"/>
    <w:rsid w:val="001E1132"/>
    <w:rsid w:val="001E17FF"/>
    <w:rsid w:val="001E2C9E"/>
    <w:rsid w:val="001E43C3"/>
    <w:rsid w:val="001E6205"/>
    <w:rsid w:val="001E7643"/>
    <w:rsid w:val="001F2830"/>
    <w:rsid w:val="001F29A4"/>
    <w:rsid w:val="001F7090"/>
    <w:rsid w:val="002012AF"/>
    <w:rsid w:val="002012BE"/>
    <w:rsid w:val="00202CB6"/>
    <w:rsid w:val="00205AD8"/>
    <w:rsid w:val="00205FF0"/>
    <w:rsid w:val="00211820"/>
    <w:rsid w:val="00212E3F"/>
    <w:rsid w:val="00214C2D"/>
    <w:rsid w:val="0023719D"/>
    <w:rsid w:val="00237C2C"/>
    <w:rsid w:val="00240AF7"/>
    <w:rsid w:val="00241C1E"/>
    <w:rsid w:val="002431B6"/>
    <w:rsid w:val="00243319"/>
    <w:rsid w:val="00250C1B"/>
    <w:rsid w:val="00251C62"/>
    <w:rsid w:val="00252D49"/>
    <w:rsid w:val="00253E22"/>
    <w:rsid w:val="00254308"/>
    <w:rsid w:val="00255C23"/>
    <w:rsid w:val="00257291"/>
    <w:rsid w:val="00257D32"/>
    <w:rsid w:val="002631A0"/>
    <w:rsid w:val="00263B8D"/>
    <w:rsid w:val="0026527B"/>
    <w:rsid w:val="002729D2"/>
    <w:rsid w:val="00276A8C"/>
    <w:rsid w:val="00281E59"/>
    <w:rsid w:val="0028272C"/>
    <w:rsid w:val="0029047B"/>
    <w:rsid w:val="0029613F"/>
    <w:rsid w:val="002A09A9"/>
    <w:rsid w:val="002A1B05"/>
    <w:rsid w:val="002A2B5F"/>
    <w:rsid w:val="002A37C4"/>
    <w:rsid w:val="002A52DF"/>
    <w:rsid w:val="002A6474"/>
    <w:rsid w:val="002A76A4"/>
    <w:rsid w:val="002B48B5"/>
    <w:rsid w:val="002B4C98"/>
    <w:rsid w:val="002C46FD"/>
    <w:rsid w:val="002C5890"/>
    <w:rsid w:val="002C596A"/>
    <w:rsid w:val="002C6408"/>
    <w:rsid w:val="002C6BCD"/>
    <w:rsid w:val="002C71A4"/>
    <w:rsid w:val="002C7435"/>
    <w:rsid w:val="002D0D79"/>
    <w:rsid w:val="002D4B86"/>
    <w:rsid w:val="002D67E6"/>
    <w:rsid w:val="002D739B"/>
    <w:rsid w:val="002E0429"/>
    <w:rsid w:val="002E085F"/>
    <w:rsid w:val="002E5475"/>
    <w:rsid w:val="002F1F60"/>
    <w:rsid w:val="002F3C73"/>
    <w:rsid w:val="002F4888"/>
    <w:rsid w:val="002F74AD"/>
    <w:rsid w:val="0030068E"/>
    <w:rsid w:val="00301394"/>
    <w:rsid w:val="00301693"/>
    <w:rsid w:val="00302740"/>
    <w:rsid w:val="00305DD9"/>
    <w:rsid w:val="0031725E"/>
    <w:rsid w:val="003222EC"/>
    <w:rsid w:val="00322E49"/>
    <w:rsid w:val="003236EE"/>
    <w:rsid w:val="003250F6"/>
    <w:rsid w:val="003352DE"/>
    <w:rsid w:val="003378C1"/>
    <w:rsid w:val="0034258D"/>
    <w:rsid w:val="00342971"/>
    <w:rsid w:val="00342B7D"/>
    <w:rsid w:val="00345919"/>
    <w:rsid w:val="00351F16"/>
    <w:rsid w:val="00355768"/>
    <w:rsid w:val="00357D14"/>
    <w:rsid w:val="00360A18"/>
    <w:rsid w:val="00360F1E"/>
    <w:rsid w:val="00370508"/>
    <w:rsid w:val="00372DDE"/>
    <w:rsid w:val="003730C9"/>
    <w:rsid w:val="00377559"/>
    <w:rsid w:val="003872EB"/>
    <w:rsid w:val="003936F2"/>
    <w:rsid w:val="003A0911"/>
    <w:rsid w:val="003A0E2B"/>
    <w:rsid w:val="003A468D"/>
    <w:rsid w:val="003A4805"/>
    <w:rsid w:val="003A6DA4"/>
    <w:rsid w:val="003B0E2B"/>
    <w:rsid w:val="003B27FD"/>
    <w:rsid w:val="003C1854"/>
    <w:rsid w:val="003C4D53"/>
    <w:rsid w:val="003D0BB0"/>
    <w:rsid w:val="003D1AB0"/>
    <w:rsid w:val="003D3B4F"/>
    <w:rsid w:val="003D3D97"/>
    <w:rsid w:val="003D586A"/>
    <w:rsid w:val="003E0806"/>
    <w:rsid w:val="003F5511"/>
    <w:rsid w:val="003F7D4D"/>
    <w:rsid w:val="00407059"/>
    <w:rsid w:val="004078E7"/>
    <w:rsid w:val="00420503"/>
    <w:rsid w:val="004219AC"/>
    <w:rsid w:val="00421ECA"/>
    <w:rsid w:val="004244BA"/>
    <w:rsid w:val="00425D61"/>
    <w:rsid w:val="0042604C"/>
    <w:rsid w:val="004307BB"/>
    <w:rsid w:val="00431FED"/>
    <w:rsid w:val="0043234B"/>
    <w:rsid w:val="00432739"/>
    <w:rsid w:val="00436D54"/>
    <w:rsid w:val="00436D77"/>
    <w:rsid w:val="004459E0"/>
    <w:rsid w:val="00452BC9"/>
    <w:rsid w:val="0045466C"/>
    <w:rsid w:val="0046079A"/>
    <w:rsid w:val="00460F56"/>
    <w:rsid w:val="00464D9D"/>
    <w:rsid w:val="00473534"/>
    <w:rsid w:val="0047655E"/>
    <w:rsid w:val="004770F5"/>
    <w:rsid w:val="0048089A"/>
    <w:rsid w:val="00483E69"/>
    <w:rsid w:val="00484D9B"/>
    <w:rsid w:val="00486D54"/>
    <w:rsid w:val="004A727C"/>
    <w:rsid w:val="004C2A44"/>
    <w:rsid w:val="004C3D79"/>
    <w:rsid w:val="004C5192"/>
    <w:rsid w:val="004C761D"/>
    <w:rsid w:val="004E0A83"/>
    <w:rsid w:val="004E1485"/>
    <w:rsid w:val="004E59A8"/>
    <w:rsid w:val="004E7228"/>
    <w:rsid w:val="004E7D55"/>
    <w:rsid w:val="004F6BEB"/>
    <w:rsid w:val="0050078F"/>
    <w:rsid w:val="00501256"/>
    <w:rsid w:val="005029CB"/>
    <w:rsid w:val="005122E8"/>
    <w:rsid w:val="00513BB1"/>
    <w:rsid w:val="0052049D"/>
    <w:rsid w:val="005218C0"/>
    <w:rsid w:val="00524CAF"/>
    <w:rsid w:val="00525EB9"/>
    <w:rsid w:val="005364B6"/>
    <w:rsid w:val="00537FFB"/>
    <w:rsid w:val="0054240A"/>
    <w:rsid w:val="00544184"/>
    <w:rsid w:val="00544D6C"/>
    <w:rsid w:val="00545F0C"/>
    <w:rsid w:val="00547FF0"/>
    <w:rsid w:val="00550AD3"/>
    <w:rsid w:val="00551D2C"/>
    <w:rsid w:val="00552FC1"/>
    <w:rsid w:val="00554624"/>
    <w:rsid w:val="00557F13"/>
    <w:rsid w:val="0056268B"/>
    <w:rsid w:val="00565391"/>
    <w:rsid w:val="005679ED"/>
    <w:rsid w:val="00572940"/>
    <w:rsid w:val="00572E88"/>
    <w:rsid w:val="00573D22"/>
    <w:rsid w:val="0057444A"/>
    <w:rsid w:val="0057466D"/>
    <w:rsid w:val="00576731"/>
    <w:rsid w:val="00576DA0"/>
    <w:rsid w:val="00577DA6"/>
    <w:rsid w:val="00581182"/>
    <w:rsid w:val="0058277F"/>
    <w:rsid w:val="005830B1"/>
    <w:rsid w:val="005832AC"/>
    <w:rsid w:val="00594BEF"/>
    <w:rsid w:val="005A36FA"/>
    <w:rsid w:val="005A737A"/>
    <w:rsid w:val="005B2166"/>
    <w:rsid w:val="005B3F8B"/>
    <w:rsid w:val="005B424C"/>
    <w:rsid w:val="005B4CA6"/>
    <w:rsid w:val="005B6532"/>
    <w:rsid w:val="005B6CE8"/>
    <w:rsid w:val="005C13D5"/>
    <w:rsid w:val="005C51B3"/>
    <w:rsid w:val="005C6159"/>
    <w:rsid w:val="005C670F"/>
    <w:rsid w:val="005D0511"/>
    <w:rsid w:val="005D779A"/>
    <w:rsid w:val="005E1EE0"/>
    <w:rsid w:val="005E6295"/>
    <w:rsid w:val="005E7ECD"/>
    <w:rsid w:val="005F5F81"/>
    <w:rsid w:val="005F6324"/>
    <w:rsid w:val="0060048A"/>
    <w:rsid w:val="00600992"/>
    <w:rsid w:val="00604E52"/>
    <w:rsid w:val="0060643B"/>
    <w:rsid w:val="00607360"/>
    <w:rsid w:val="00613311"/>
    <w:rsid w:val="006136DB"/>
    <w:rsid w:val="006162FA"/>
    <w:rsid w:val="00617107"/>
    <w:rsid w:val="006206E0"/>
    <w:rsid w:val="006218FF"/>
    <w:rsid w:val="006222A2"/>
    <w:rsid w:val="00625C1A"/>
    <w:rsid w:val="006422B1"/>
    <w:rsid w:val="00652C46"/>
    <w:rsid w:val="00654805"/>
    <w:rsid w:val="00656DE3"/>
    <w:rsid w:val="0065767D"/>
    <w:rsid w:val="006604B8"/>
    <w:rsid w:val="00660E0E"/>
    <w:rsid w:val="006618DF"/>
    <w:rsid w:val="00663865"/>
    <w:rsid w:val="00664319"/>
    <w:rsid w:val="006646C1"/>
    <w:rsid w:val="006662F5"/>
    <w:rsid w:val="00666920"/>
    <w:rsid w:val="00666932"/>
    <w:rsid w:val="006708A9"/>
    <w:rsid w:val="0067225E"/>
    <w:rsid w:val="006763B2"/>
    <w:rsid w:val="0067759A"/>
    <w:rsid w:val="00677943"/>
    <w:rsid w:val="00677FA2"/>
    <w:rsid w:val="00680B33"/>
    <w:rsid w:val="006811D9"/>
    <w:rsid w:val="006827AF"/>
    <w:rsid w:val="00690D77"/>
    <w:rsid w:val="006920CF"/>
    <w:rsid w:val="006929E2"/>
    <w:rsid w:val="00695758"/>
    <w:rsid w:val="00695C57"/>
    <w:rsid w:val="006A03A3"/>
    <w:rsid w:val="006A214D"/>
    <w:rsid w:val="006A51EE"/>
    <w:rsid w:val="006B2065"/>
    <w:rsid w:val="006B2B49"/>
    <w:rsid w:val="006B3C9C"/>
    <w:rsid w:val="006B4041"/>
    <w:rsid w:val="006B6616"/>
    <w:rsid w:val="006B7B1C"/>
    <w:rsid w:val="006C0180"/>
    <w:rsid w:val="006C3853"/>
    <w:rsid w:val="006C4DE4"/>
    <w:rsid w:val="006C5992"/>
    <w:rsid w:val="006D04E2"/>
    <w:rsid w:val="006D1E56"/>
    <w:rsid w:val="006D2364"/>
    <w:rsid w:val="006D2914"/>
    <w:rsid w:val="006D5DC8"/>
    <w:rsid w:val="006D7B5C"/>
    <w:rsid w:val="006E01BE"/>
    <w:rsid w:val="006E290B"/>
    <w:rsid w:val="006E56AA"/>
    <w:rsid w:val="006F2AB4"/>
    <w:rsid w:val="006F491D"/>
    <w:rsid w:val="00701DE1"/>
    <w:rsid w:val="00702217"/>
    <w:rsid w:val="00702383"/>
    <w:rsid w:val="007043F4"/>
    <w:rsid w:val="0070494C"/>
    <w:rsid w:val="00710E9A"/>
    <w:rsid w:val="00711442"/>
    <w:rsid w:val="00711EC6"/>
    <w:rsid w:val="007130FA"/>
    <w:rsid w:val="007143E0"/>
    <w:rsid w:val="00715609"/>
    <w:rsid w:val="00715861"/>
    <w:rsid w:val="00715B15"/>
    <w:rsid w:val="007248E0"/>
    <w:rsid w:val="0073024F"/>
    <w:rsid w:val="00732706"/>
    <w:rsid w:val="00736796"/>
    <w:rsid w:val="0074115F"/>
    <w:rsid w:val="00741BB9"/>
    <w:rsid w:val="00745D71"/>
    <w:rsid w:val="00747D3A"/>
    <w:rsid w:val="00752FDA"/>
    <w:rsid w:val="0075453B"/>
    <w:rsid w:val="00765324"/>
    <w:rsid w:val="00771E27"/>
    <w:rsid w:val="00774339"/>
    <w:rsid w:val="00774665"/>
    <w:rsid w:val="00776270"/>
    <w:rsid w:val="00784E03"/>
    <w:rsid w:val="00797A11"/>
    <w:rsid w:val="007A06DC"/>
    <w:rsid w:val="007A0B66"/>
    <w:rsid w:val="007B0747"/>
    <w:rsid w:val="007B0B9C"/>
    <w:rsid w:val="007B2AA9"/>
    <w:rsid w:val="007B3738"/>
    <w:rsid w:val="007C0D08"/>
    <w:rsid w:val="007C46A0"/>
    <w:rsid w:val="007D0543"/>
    <w:rsid w:val="007D3ECF"/>
    <w:rsid w:val="007D5C49"/>
    <w:rsid w:val="007D60FC"/>
    <w:rsid w:val="007E0057"/>
    <w:rsid w:val="007E5EEF"/>
    <w:rsid w:val="007E6AED"/>
    <w:rsid w:val="0080148E"/>
    <w:rsid w:val="00802D83"/>
    <w:rsid w:val="00803E68"/>
    <w:rsid w:val="008058FD"/>
    <w:rsid w:val="00805FA3"/>
    <w:rsid w:val="00812981"/>
    <w:rsid w:val="00822A72"/>
    <w:rsid w:val="0082333C"/>
    <w:rsid w:val="00831E51"/>
    <w:rsid w:val="00832A5F"/>
    <w:rsid w:val="00833443"/>
    <w:rsid w:val="008352E2"/>
    <w:rsid w:val="008368A3"/>
    <w:rsid w:val="008403A9"/>
    <w:rsid w:val="008413DF"/>
    <w:rsid w:val="00842423"/>
    <w:rsid w:val="00842894"/>
    <w:rsid w:val="0084292A"/>
    <w:rsid w:val="0084322B"/>
    <w:rsid w:val="00845518"/>
    <w:rsid w:val="00845A15"/>
    <w:rsid w:val="008527DF"/>
    <w:rsid w:val="00857ECD"/>
    <w:rsid w:val="00861158"/>
    <w:rsid w:val="00861380"/>
    <w:rsid w:val="00861DB1"/>
    <w:rsid w:val="0086322F"/>
    <w:rsid w:val="0086377F"/>
    <w:rsid w:val="0086479F"/>
    <w:rsid w:val="008731E2"/>
    <w:rsid w:val="00880777"/>
    <w:rsid w:val="0088696B"/>
    <w:rsid w:val="00886A7A"/>
    <w:rsid w:val="00891E96"/>
    <w:rsid w:val="00891EE9"/>
    <w:rsid w:val="00895B5D"/>
    <w:rsid w:val="008A36B5"/>
    <w:rsid w:val="008B6DD2"/>
    <w:rsid w:val="008B7D02"/>
    <w:rsid w:val="008C4328"/>
    <w:rsid w:val="008C4D6B"/>
    <w:rsid w:val="008C6123"/>
    <w:rsid w:val="008C7728"/>
    <w:rsid w:val="008D072E"/>
    <w:rsid w:val="008D0D4D"/>
    <w:rsid w:val="008E0F56"/>
    <w:rsid w:val="008E33AC"/>
    <w:rsid w:val="008E3834"/>
    <w:rsid w:val="008F0FBE"/>
    <w:rsid w:val="008F14F1"/>
    <w:rsid w:val="008F3D49"/>
    <w:rsid w:val="008F6953"/>
    <w:rsid w:val="008F7A75"/>
    <w:rsid w:val="009041C1"/>
    <w:rsid w:val="00914063"/>
    <w:rsid w:val="00923519"/>
    <w:rsid w:val="00924EFE"/>
    <w:rsid w:val="009259A1"/>
    <w:rsid w:val="009337E2"/>
    <w:rsid w:val="0094135B"/>
    <w:rsid w:val="009416A9"/>
    <w:rsid w:val="00951C99"/>
    <w:rsid w:val="00956990"/>
    <w:rsid w:val="00961EF4"/>
    <w:rsid w:val="00963AD7"/>
    <w:rsid w:val="00967CA1"/>
    <w:rsid w:val="00970794"/>
    <w:rsid w:val="009726E4"/>
    <w:rsid w:val="00972FF2"/>
    <w:rsid w:val="009739E0"/>
    <w:rsid w:val="00974E9F"/>
    <w:rsid w:val="00975D46"/>
    <w:rsid w:val="00976056"/>
    <w:rsid w:val="00982C4D"/>
    <w:rsid w:val="0099097B"/>
    <w:rsid w:val="00990DFA"/>
    <w:rsid w:val="009910EB"/>
    <w:rsid w:val="00993410"/>
    <w:rsid w:val="009A30BE"/>
    <w:rsid w:val="009B1906"/>
    <w:rsid w:val="009B23A9"/>
    <w:rsid w:val="009B2FD9"/>
    <w:rsid w:val="009B5537"/>
    <w:rsid w:val="009B5632"/>
    <w:rsid w:val="009B5BCC"/>
    <w:rsid w:val="009C36C0"/>
    <w:rsid w:val="009C53FC"/>
    <w:rsid w:val="009C6B32"/>
    <w:rsid w:val="009D494C"/>
    <w:rsid w:val="009D49F4"/>
    <w:rsid w:val="009E3092"/>
    <w:rsid w:val="009E472F"/>
    <w:rsid w:val="009E6031"/>
    <w:rsid w:val="009E693F"/>
    <w:rsid w:val="009E6C70"/>
    <w:rsid w:val="009F15CA"/>
    <w:rsid w:val="009F2B81"/>
    <w:rsid w:val="009F3917"/>
    <w:rsid w:val="009F4030"/>
    <w:rsid w:val="009F463A"/>
    <w:rsid w:val="009F4F78"/>
    <w:rsid w:val="00A005F1"/>
    <w:rsid w:val="00A00E4F"/>
    <w:rsid w:val="00A01E15"/>
    <w:rsid w:val="00A02DB8"/>
    <w:rsid w:val="00A10B56"/>
    <w:rsid w:val="00A131BC"/>
    <w:rsid w:val="00A264A0"/>
    <w:rsid w:val="00A302D4"/>
    <w:rsid w:val="00A30D27"/>
    <w:rsid w:val="00A31A68"/>
    <w:rsid w:val="00A338D4"/>
    <w:rsid w:val="00A33EBF"/>
    <w:rsid w:val="00A35811"/>
    <w:rsid w:val="00A35849"/>
    <w:rsid w:val="00A37123"/>
    <w:rsid w:val="00A374AD"/>
    <w:rsid w:val="00A40489"/>
    <w:rsid w:val="00A44CCC"/>
    <w:rsid w:val="00A453FD"/>
    <w:rsid w:val="00A47960"/>
    <w:rsid w:val="00A47B01"/>
    <w:rsid w:val="00A47D4D"/>
    <w:rsid w:val="00A5179D"/>
    <w:rsid w:val="00A51953"/>
    <w:rsid w:val="00A51C62"/>
    <w:rsid w:val="00A56E12"/>
    <w:rsid w:val="00A60ACE"/>
    <w:rsid w:val="00A6103A"/>
    <w:rsid w:val="00A6546E"/>
    <w:rsid w:val="00A65D38"/>
    <w:rsid w:val="00A77C0A"/>
    <w:rsid w:val="00A77E18"/>
    <w:rsid w:val="00A84905"/>
    <w:rsid w:val="00A87A0D"/>
    <w:rsid w:val="00A94981"/>
    <w:rsid w:val="00AA2E4E"/>
    <w:rsid w:val="00AA3976"/>
    <w:rsid w:val="00AA48F6"/>
    <w:rsid w:val="00AA6316"/>
    <w:rsid w:val="00AA6BE9"/>
    <w:rsid w:val="00AB0BA1"/>
    <w:rsid w:val="00AB3B9C"/>
    <w:rsid w:val="00AC0BA4"/>
    <w:rsid w:val="00AC1913"/>
    <w:rsid w:val="00AC2B9A"/>
    <w:rsid w:val="00AD1E87"/>
    <w:rsid w:val="00AD56C2"/>
    <w:rsid w:val="00AD62F4"/>
    <w:rsid w:val="00AE357C"/>
    <w:rsid w:val="00AE73A1"/>
    <w:rsid w:val="00AF11A5"/>
    <w:rsid w:val="00AF1A3C"/>
    <w:rsid w:val="00AF21A4"/>
    <w:rsid w:val="00AF2F85"/>
    <w:rsid w:val="00AF76DE"/>
    <w:rsid w:val="00B009E0"/>
    <w:rsid w:val="00B018FE"/>
    <w:rsid w:val="00B025A9"/>
    <w:rsid w:val="00B05523"/>
    <w:rsid w:val="00B218A0"/>
    <w:rsid w:val="00B2722A"/>
    <w:rsid w:val="00B2770A"/>
    <w:rsid w:val="00B30E05"/>
    <w:rsid w:val="00B330CB"/>
    <w:rsid w:val="00B35EF0"/>
    <w:rsid w:val="00B43402"/>
    <w:rsid w:val="00B50805"/>
    <w:rsid w:val="00B511DF"/>
    <w:rsid w:val="00B6144E"/>
    <w:rsid w:val="00B62294"/>
    <w:rsid w:val="00B64EED"/>
    <w:rsid w:val="00B665B7"/>
    <w:rsid w:val="00B66705"/>
    <w:rsid w:val="00B67123"/>
    <w:rsid w:val="00B70F03"/>
    <w:rsid w:val="00B72089"/>
    <w:rsid w:val="00B72261"/>
    <w:rsid w:val="00B764C1"/>
    <w:rsid w:val="00B8351A"/>
    <w:rsid w:val="00B84000"/>
    <w:rsid w:val="00B921FA"/>
    <w:rsid w:val="00B932B8"/>
    <w:rsid w:val="00B947AA"/>
    <w:rsid w:val="00BA0AFF"/>
    <w:rsid w:val="00BA1013"/>
    <w:rsid w:val="00BA4FB7"/>
    <w:rsid w:val="00BA5029"/>
    <w:rsid w:val="00BA6639"/>
    <w:rsid w:val="00BA7C37"/>
    <w:rsid w:val="00BB2A00"/>
    <w:rsid w:val="00BB45BE"/>
    <w:rsid w:val="00BC02AC"/>
    <w:rsid w:val="00BC46F0"/>
    <w:rsid w:val="00BC4D7C"/>
    <w:rsid w:val="00BC6097"/>
    <w:rsid w:val="00BC78DF"/>
    <w:rsid w:val="00BD000A"/>
    <w:rsid w:val="00BD0FF6"/>
    <w:rsid w:val="00BD103A"/>
    <w:rsid w:val="00BD34BF"/>
    <w:rsid w:val="00BD77AE"/>
    <w:rsid w:val="00BE020D"/>
    <w:rsid w:val="00BE02D9"/>
    <w:rsid w:val="00BE034A"/>
    <w:rsid w:val="00BF0611"/>
    <w:rsid w:val="00BF14E7"/>
    <w:rsid w:val="00BF16EB"/>
    <w:rsid w:val="00BF52CE"/>
    <w:rsid w:val="00BF54C3"/>
    <w:rsid w:val="00BF6E80"/>
    <w:rsid w:val="00C0595D"/>
    <w:rsid w:val="00C06C93"/>
    <w:rsid w:val="00C07543"/>
    <w:rsid w:val="00C11647"/>
    <w:rsid w:val="00C12F99"/>
    <w:rsid w:val="00C17879"/>
    <w:rsid w:val="00C17BD7"/>
    <w:rsid w:val="00C20351"/>
    <w:rsid w:val="00C22D64"/>
    <w:rsid w:val="00C23B7D"/>
    <w:rsid w:val="00C27491"/>
    <w:rsid w:val="00C305F5"/>
    <w:rsid w:val="00C30AE1"/>
    <w:rsid w:val="00C32041"/>
    <w:rsid w:val="00C335B0"/>
    <w:rsid w:val="00C35441"/>
    <w:rsid w:val="00C354E7"/>
    <w:rsid w:val="00C36D60"/>
    <w:rsid w:val="00C37363"/>
    <w:rsid w:val="00C41388"/>
    <w:rsid w:val="00C4766E"/>
    <w:rsid w:val="00C603D8"/>
    <w:rsid w:val="00C62372"/>
    <w:rsid w:val="00C635FE"/>
    <w:rsid w:val="00C65A32"/>
    <w:rsid w:val="00C702E1"/>
    <w:rsid w:val="00C71147"/>
    <w:rsid w:val="00C77470"/>
    <w:rsid w:val="00C82BF8"/>
    <w:rsid w:val="00C855FE"/>
    <w:rsid w:val="00C85E23"/>
    <w:rsid w:val="00C904D4"/>
    <w:rsid w:val="00CA0ABE"/>
    <w:rsid w:val="00CA2AF4"/>
    <w:rsid w:val="00CA4267"/>
    <w:rsid w:val="00CA43FD"/>
    <w:rsid w:val="00CA57CE"/>
    <w:rsid w:val="00CA73AF"/>
    <w:rsid w:val="00CB1292"/>
    <w:rsid w:val="00CB14C4"/>
    <w:rsid w:val="00CB1BCB"/>
    <w:rsid w:val="00CB58B1"/>
    <w:rsid w:val="00CB66A6"/>
    <w:rsid w:val="00CC0A34"/>
    <w:rsid w:val="00CC0DF9"/>
    <w:rsid w:val="00CC7097"/>
    <w:rsid w:val="00CD14C1"/>
    <w:rsid w:val="00CD2980"/>
    <w:rsid w:val="00CD48C2"/>
    <w:rsid w:val="00CE29EE"/>
    <w:rsid w:val="00CF5CFE"/>
    <w:rsid w:val="00CF75E2"/>
    <w:rsid w:val="00D00AE2"/>
    <w:rsid w:val="00D01457"/>
    <w:rsid w:val="00D02544"/>
    <w:rsid w:val="00D03DC9"/>
    <w:rsid w:val="00D0613B"/>
    <w:rsid w:val="00D1276A"/>
    <w:rsid w:val="00D22CAE"/>
    <w:rsid w:val="00D311CF"/>
    <w:rsid w:val="00D33A07"/>
    <w:rsid w:val="00D33D80"/>
    <w:rsid w:val="00D34605"/>
    <w:rsid w:val="00D41348"/>
    <w:rsid w:val="00D4399B"/>
    <w:rsid w:val="00D46B1A"/>
    <w:rsid w:val="00D46F65"/>
    <w:rsid w:val="00D47178"/>
    <w:rsid w:val="00D47398"/>
    <w:rsid w:val="00D544D8"/>
    <w:rsid w:val="00D5583A"/>
    <w:rsid w:val="00D57D15"/>
    <w:rsid w:val="00D621E2"/>
    <w:rsid w:val="00D635F2"/>
    <w:rsid w:val="00D65685"/>
    <w:rsid w:val="00D747DF"/>
    <w:rsid w:val="00D7631B"/>
    <w:rsid w:val="00D80E95"/>
    <w:rsid w:val="00D81657"/>
    <w:rsid w:val="00D82234"/>
    <w:rsid w:val="00D8516F"/>
    <w:rsid w:val="00D86094"/>
    <w:rsid w:val="00D9297D"/>
    <w:rsid w:val="00D9335A"/>
    <w:rsid w:val="00D95019"/>
    <w:rsid w:val="00D950D5"/>
    <w:rsid w:val="00D9671F"/>
    <w:rsid w:val="00DA48E8"/>
    <w:rsid w:val="00DA4B3C"/>
    <w:rsid w:val="00DA65A2"/>
    <w:rsid w:val="00DA6F1B"/>
    <w:rsid w:val="00DB6190"/>
    <w:rsid w:val="00DB6F9C"/>
    <w:rsid w:val="00DC4C75"/>
    <w:rsid w:val="00DC5845"/>
    <w:rsid w:val="00DC6C74"/>
    <w:rsid w:val="00DD0B8F"/>
    <w:rsid w:val="00DD1A7A"/>
    <w:rsid w:val="00DD219A"/>
    <w:rsid w:val="00DD3686"/>
    <w:rsid w:val="00DE17D0"/>
    <w:rsid w:val="00DE3317"/>
    <w:rsid w:val="00DE39F7"/>
    <w:rsid w:val="00DF056F"/>
    <w:rsid w:val="00DF3B89"/>
    <w:rsid w:val="00DF5028"/>
    <w:rsid w:val="00DF64C2"/>
    <w:rsid w:val="00DF7C96"/>
    <w:rsid w:val="00E01959"/>
    <w:rsid w:val="00E02432"/>
    <w:rsid w:val="00E02590"/>
    <w:rsid w:val="00E123A0"/>
    <w:rsid w:val="00E1515F"/>
    <w:rsid w:val="00E17A2C"/>
    <w:rsid w:val="00E22031"/>
    <w:rsid w:val="00E2284B"/>
    <w:rsid w:val="00E32622"/>
    <w:rsid w:val="00E348CD"/>
    <w:rsid w:val="00E34970"/>
    <w:rsid w:val="00E37DB5"/>
    <w:rsid w:val="00E454C7"/>
    <w:rsid w:val="00E50E74"/>
    <w:rsid w:val="00E52BE1"/>
    <w:rsid w:val="00E639B8"/>
    <w:rsid w:val="00E67DAB"/>
    <w:rsid w:val="00E707F8"/>
    <w:rsid w:val="00E71E8C"/>
    <w:rsid w:val="00E7386D"/>
    <w:rsid w:val="00E73B83"/>
    <w:rsid w:val="00E8153D"/>
    <w:rsid w:val="00E83F99"/>
    <w:rsid w:val="00E85FDF"/>
    <w:rsid w:val="00E873E3"/>
    <w:rsid w:val="00E918E9"/>
    <w:rsid w:val="00E94A81"/>
    <w:rsid w:val="00E96091"/>
    <w:rsid w:val="00E963F7"/>
    <w:rsid w:val="00EA5AAF"/>
    <w:rsid w:val="00EB1C60"/>
    <w:rsid w:val="00EB306A"/>
    <w:rsid w:val="00EB347D"/>
    <w:rsid w:val="00EC513C"/>
    <w:rsid w:val="00EC7ACF"/>
    <w:rsid w:val="00ED76E5"/>
    <w:rsid w:val="00ED7CC7"/>
    <w:rsid w:val="00EE33AB"/>
    <w:rsid w:val="00EE79CB"/>
    <w:rsid w:val="00EF4445"/>
    <w:rsid w:val="00EF5313"/>
    <w:rsid w:val="00EF66A0"/>
    <w:rsid w:val="00EF7270"/>
    <w:rsid w:val="00F03A03"/>
    <w:rsid w:val="00F0439E"/>
    <w:rsid w:val="00F0494F"/>
    <w:rsid w:val="00F06CC8"/>
    <w:rsid w:val="00F07F93"/>
    <w:rsid w:val="00F12319"/>
    <w:rsid w:val="00F20E05"/>
    <w:rsid w:val="00F2543F"/>
    <w:rsid w:val="00F30C81"/>
    <w:rsid w:val="00F325D8"/>
    <w:rsid w:val="00F35DD9"/>
    <w:rsid w:val="00F375A2"/>
    <w:rsid w:val="00F46298"/>
    <w:rsid w:val="00F55CD2"/>
    <w:rsid w:val="00F63685"/>
    <w:rsid w:val="00F67148"/>
    <w:rsid w:val="00F70FFE"/>
    <w:rsid w:val="00F7210B"/>
    <w:rsid w:val="00F8073B"/>
    <w:rsid w:val="00F8173C"/>
    <w:rsid w:val="00F87BD6"/>
    <w:rsid w:val="00F92ECF"/>
    <w:rsid w:val="00F9304E"/>
    <w:rsid w:val="00F94570"/>
    <w:rsid w:val="00F9488F"/>
    <w:rsid w:val="00F9491A"/>
    <w:rsid w:val="00F961A1"/>
    <w:rsid w:val="00F9632E"/>
    <w:rsid w:val="00F9701C"/>
    <w:rsid w:val="00F97BBF"/>
    <w:rsid w:val="00FA509A"/>
    <w:rsid w:val="00FA5DC8"/>
    <w:rsid w:val="00FB6622"/>
    <w:rsid w:val="00FC010D"/>
    <w:rsid w:val="00FC18DE"/>
    <w:rsid w:val="00FC2AE1"/>
    <w:rsid w:val="00FE0031"/>
    <w:rsid w:val="00FE2A79"/>
    <w:rsid w:val="00FE3A2F"/>
    <w:rsid w:val="00FE405B"/>
    <w:rsid w:val="00FE472C"/>
    <w:rsid w:val="00FF0810"/>
    <w:rsid w:val="00FF591F"/>
    <w:rsid w:val="00FF75CA"/>
    <w:rsid w:val="00FF7904"/>
    <w:rsid w:val="02F65F45"/>
    <w:rsid w:val="03BD219A"/>
    <w:rsid w:val="05634501"/>
    <w:rsid w:val="07021EC3"/>
    <w:rsid w:val="07463B51"/>
    <w:rsid w:val="08B57B6C"/>
    <w:rsid w:val="09C70181"/>
    <w:rsid w:val="0B0018D6"/>
    <w:rsid w:val="111D5E14"/>
    <w:rsid w:val="12CD73C6"/>
    <w:rsid w:val="17E53404"/>
    <w:rsid w:val="25FA2770"/>
    <w:rsid w:val="2A1B06FF"/>
    <w:rsid w:val="2C4A274E"/>
    <w:rsid w:val="33047CAF"/>
    <w:rsid w:val="33AE4C72"/>
    <w:rsid w:val="34DE58C2"/>
    <w:rsid w:val="3BC6580F"/>
    <w:rsid w:val="3E93506C"/>
    <w:rsid w:val="4194717D"/>
    <w:rsid w:val="419D3F2B"/>
    <w:rsid w:val="476C56FD"/>
    <w:rsid w:val="482E56A2"/>
    <w:rsid w:val="4F9D4066"/>
    <w:rsid w:val="51782617"/>
    <w:rsid w:val="549A26FE"/>
    <w:rsid w:val="595E1B62"/>
    <w:rsid w:val="5F1F1189"/>
    <w:rsid w:val="61E138C1"/>
    <w:rsid w:val="6A835E5D"/>
    <w:rsid w:val="6E8B3335"/>
    <w:rsid w:val="705B5186"/>
    <w:rsid w:val="7E6D25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line="240" w:lineRule="auto"/>
    </w:pPr>
    <w:rPr>
      <w:sz w:val="18"/>
      <w:szCs w:val="18"/>
    </w:rPr>
  </w:style>
  <w:style w:type="paragraph" w:styleId="3">
    <w:name w:val="footer"/>
    <w:basedOn w:val="1"/>
    <w:link w:val="10"/>
    <w:semiHidden/>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批注框文本 Char"/>
    <w:basedOn w:val="7"/>
    <w:link w:val="2"/>
    <w:semiHidden/>
    <w:qFormat/>
    <w:uiPriority w:val="99"/>
    <w:rPr>
      <w:rFonts w:eastAsia="仿宋_GB2312"/>
      <w:kern w:val="2"/>
      <w:sz w:val="18"/>
      <w:szCs w:val="18"/>
    </w:rPr>
  </w:style>
  <w:style w:type="character" w:customStyle="1" w:styleId="9">
    <w:name w:val="页眉 Char"/>
    <w:basedOn w:val="7"/>
    <w:link w:val="4"/>
    <w:semiHidden/>
    <w:qFormat/>
    <w:uiPriority w:val="99"/>
    <w:rPr>
      <w:rFonts w:eastAsia="仿宋_GB2312"/>
      <w:kern w:val="2"/>
      <w:sz w:val="18"/>
      <w:szCs w:val="18"/>
    </w:rPr>
  </w:style>
  <w:style w:type="character" w:customStyle="1" w:styleId="10">
    <w:name w:val="页脚 Char"/>
    <w:basedOn w:val="7"/>
    <w:link w:val="3"/>
    <w:semiHidden/>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13</Pages>
  <Words>9211</Words>
  <Characters>9288</Characters>
  <Lines>68</Lines>
  <Paragraphs>19</Paragraphs>
  <TotalTime>2</TotalTime>
  <ScaleCrop>false</ScaleCrop>
  <LinksUpToDate>false</LinksUpToDate>
  <CharactersWithSpaces>9292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2022-10-10T03:05:00Z</dcterms:created>
  <dc:creator>法规处文秘</dc:creator>
  <cp:lastModifiedBy>只是一介平民</cp:lastModifiedBy>
  <dcterms:modified xsi:type="dcterms:W3CDTF">2024-10-15T08:31:48Z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7321A58CABA847F2B6EEF0FC44AA4915_13</vt:lpwstr>
  </property>
  <property fmtid="{D5CDD505-2E9C-101B-9397-08002B2CF9AE}" pid="3" name="KSOProductBuildVer">
    <vt:lpwstr>2052-12.1.0.18276</vt:lpwstr>
  </property>
</Properties>
</file>